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4315" w:type="dxa"/>
        <w:tblInd w:w="-108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8483"/>
        <w:gridCol w:w="5832"/>
      </w:tblGrid>
      <w:tr>
        <w:tblPrEx/>
        <w:trPr>
          <w:trHeight w:val="1424"/>
          <w:tblHeader/>
        </w:trPr>
        <w:tc>
          <w:tcPr>
            <w:tcW w:w="8482" w:type="dxa"/>
            <w:vAlign w:val="center"/>
            <w:textDirection w:val="lrTb"/>
            <w:noWrap w:val="false"/>
          </w:tcPr>
          <w:p>
            <w:pPr>
              <w:pStyle w:val="727"/>
              <w:jc w:val="left"/>
              <w:spacing w:before="0" w:after="200" w:line="276" w:lineRule="auto"/>
              <w:widowControl/>
            </w:pPr>
            <w:r/>
            <w:r/>
          </w:p>
        </w:tc>
        <w:tc>
          <w:tcPr>
            <w:tcW w:w="5832" w:type="dxa"/>
            <w:textDirection w:val="lrTb"/>
            <w:noWrap w:val="false"/>
          </w:tcPr>
          <w:p>
            <w:pPr>
              <w:pStyle w:val="727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решению Думы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Уссурийского городского округа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pStyle w:val="727"/>
              <w:contextualSpacing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Приморского края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  №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8"/>
                <w:u w:val="none"/>
                <w:vertAlign w:val="baseline"/>
              </w:rPr>
              <w:t xml:space="preserve">"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решению Думы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Уссурийского городского округа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pStyle w:val="727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Приморского края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spacing w:before="0" w:after="0" w:line="240" w:lineRule="auto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16 декабря 2025 года № 337-НПА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blPrEx/>
        <w:trPr>
          <w:trHeight w:val="536"/>
          <w:tblHeader/>
        </w:trPr>
        <w:tc>
          <w:tcPr>
            <w:gridSpan w:val="2"/>
            <w:tcW w:w="14315" w:type="dxa"/>
            <w:vAlign w:val="center"/>
            <w:textDirection w:val="lrTb"/>
            <w:noWrap w:val="false"/>
          </w:tcPr>
          <w:p>
            <w:pPr>
              <w:pStyle w:val="727"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Распределение по целевым статьям (муниципальным программам и непрограммным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направлениям деятельности) и группам (группам и подгруппам) видов расходов в соответствии с классификацией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расходов бюджета Уссурийского городского округа Приморского края на 2026 год и плановый период 2027 и 2028 годов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jc w:val="center"/>
              <w:spacing w:before="0" w:after="0" w:line="240" w:lineRule="auto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blPrEx/>
        <w:trPr>
          <w:trHeight w:val="297"/>
          <w:tblHeader/>
        </w:trPr>
        <w:tc>
          <w:tcPr>
            <w:gridSpan w:val="2"/>
            <w:tcW w:w="14315" w:type="dxa"/>
            <w:vAlign w:val="center"/>
            <w:textDirection w:val="lrTb"/>
            <w:noWrap w:val="false"/>
          </w:tcPr>
          <w:p>
            <w:pPr>
              <w:pStyle w:val="727"/>
              <w:jc w:val="right"/>
              <w:spacing w:before="0"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рублей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727"/>
        <w:spacing w:before="0" w:after="0" w:line="240" w:lineRule="auto"/>
        <w:widowControl w:val="off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</w:r>
      <w:r>
        <w:rPr>
          <w:rFonts w:ascii="Arial" w:hAnsi="Arial" w:cs="Arial"/>
          <w:sz w:val="2"/>
          <w:szCs w:val="2"/>
        </w:rPr>
      </w:r>
      <w:r>
        <w:rPr>
          <w:rFonts w:ascii="Arial" w:hAnsi="Arial" w:cs="Arial"/>
          <w:sz w:val="2"/>
          <w:szCs w:val="2"/>
        </w:rPr>
      </w:r>
    </w:p>
    <w:tbl>
      <w:tblPr>
        <w:tblW w:w="14464" w:type="dxa"/>
        <w:tblInd w:w="-154" w:type="dxa"/>
        <w:tblLayout w:type="fixed"/>
        <w:tblCellMar>
          <w:left w:w="5" w:type="dxa"/>
          <w:top w:w="0" w:type="dxa"/>
          <w:right w:w="5" w:type="dxa"/>
          <w:bottom w:w="0" w:type="dxa"/>
        </w:tblCellMar>
        <w:tblLook w:val="04A0" w:firstRow="1" w:lastRow="0" w:firstColumn="1" w:lastColumn="0" w:noHBand="0" w:noVBand="1"/>
      </w:tblPr>
      <w:tblGrid>
        <w:gridCol w:w="6678"/>
        <w:gridCol w:w="1407"/>
        <w:gridCol w:w="709"/>
        <w:gridCol w:w="1985"/>
        <w:gridCol w:w="1874"/>
        <w:gridCol w:w="1811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78" w:type="dxa"/>
            <w:vAlign w:val="center"/>
            <w:textDirection w:val="lrTb"/>
            <w:noWrap w:val="false"/>
          </w:tcPr>
          <w:p>
            <w:pPr>
              <w:pStyle w:val="727"/>
              <w:contextualSpacing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показателя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07" w:type="dxa"/>
            <w:vAlign w:val="center"/>
            <w:textDirection w:val="lrTb"/>
            <w:noWrap w:val="false"/>
          </w:tcPr>
          <w:p>
            <w:pPr>
              <w:pStyle w:val="727"/>
              <w:contextualSpacing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Целевая статья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27"/>
              <w:contextualSpacing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 рас-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727"/>
              <w:contextualSpacing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ходов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727"/>
              <w:contextualSpacing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727"/>
              <w:contextualSpacing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874" w:type="dxa"/>
            <w:vAlign w:val="center"/>
            <w:textDirection w:val="lrTb"/>
            <w:noWrap w:val="false"/>
          </w:tcPr>
          <w:p>
            <w:pPr>
              <w:pStyle w:val="727"/>
              <w:contextualSpacing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727"/>
              <w:contextualSpacing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811" w:type="dxa"/>
            <w:vAlign w:val="center"/>
            <w:textDirection w:val="lrTb"/>
            <w:noWrap w:val="false"/>
          </w:tcPr>
          <w:p>
            <w:pPr>
              <w:pStyle w:val="727"/>
              <w:contextualSpacing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727"/>
              <w:contextualSpacing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tbl>
      <w:tblPr>
        <w:tblStyle w:val="816"/>
        <w:tblW w:w="0" w:type="auto"/>
        <w:tblInd w:w="-138" w:type="dxa"/>
        <w:tblLayout w:type="fixed"/>
        <w:tblLook w:val="04A0" w:firstRow="1" w:lastRow="0" w:firstColumn="1" w:lastColumn="0" w:noHBand="0" w:noVBand="1"/>
      </w:tblPr>
      <w:tblGrid>
        <w:gridCol w:w="6661"/>
        <w:gridCol w:w="1417"/>
        <w:gridCol w:w="709"/>
        <w:gridCol w:w="1984"/>
        <w:gridCol w:w="1843"/>
        <w:gridCol w:w="1843"/>
      </w:tblGrid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градостроительной деятельности и деятельности в области земельных отношений в Уссурийском городском округе Приморского края" на 2023 - 2029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осуществлению полномочий в области градостроительной деятельности на территории Уссурийского городского округа Приморского края 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19 130 000,00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433 000,00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433 000,00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документации по планировке территории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0140120790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0140120790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подготовке проектов Генерального плана, по внесению изменений в Генеральный план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0140120950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0140120950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подготовке проекта нормативов и (или) внесения изменений нормативов градостроительного проектирования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0140121400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0140121400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единого документа территориального планирования и градостроительного зонирования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урегулированию земельных отношений на территории Уссурийского городского округа Приморского края 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в области распоряжения и использования земель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0140220800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0140220800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Оценка рыночной стоимости земельных участков и (или) расположенных на них объектов недвижимого имущества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Рациональное использование и охрана земель на территории городского округа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туризма на территории Уссурийского городского округа Приморского края" на 2023-2029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"Организация и проведение мероприятий. направленных на развитие событийного, экологического, спортивного, промышленного и культурно - познавательного туризма"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поддержку проектов по развитию общественных территорий, в том числе мероприятия по обустройству туристического центра города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0240222250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0240222250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"Содействие развитию малого и среднего предпринимательства на территории Уссурийского городского округа Приморского края" на 2026 - 2032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"Формирование положительного имиджа предпринимательства, повышение предпринимательской грамотности и конкурентоспособности субъектов малого и среднего предпринимательства"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Мероприятие по освещению деятельности органов местного самоуправления в средствах массовой информации в сфере оказания информационной поддержки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круглых столов, встреч, форумов, конференций, конкурсов для субъектов малого и среднего предпринимательства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0340120910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690 932,00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0340120910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690 932,00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подписки на периодические издания в сфере социально - экономического развития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0340122260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64 068,00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0340122260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64 068,00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"Предоставление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субъектам малого и среднего предпринимательства и физическим лицам, не являющимися индивидуальными предпринимателями на возмещение части затрат связанных с уплатой лизинговых платежей по действующим договорам финансовой аренды (лизинга) на приобретение оборудования, заключенным на срок не менее одного года и не более пяти лет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52 179,11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52 179,11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Предоставление субсидий на возмещение части затрат, связанных с осуществлением деятельности в сфере социального предпринимательства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субъектам малого и среднего предпринимательства и физическим лицам, не являющимися индивидуальными предпринимателями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947 820,89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947 820,89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"Управление муниципальным имуществом, находящимся в собственности Уссурийского городского округа Приморского края" на 2024-2029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56 462 307,47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44 383 920,00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44 383 920,00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"Формирование и управление муниципальной казной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16 886 287,47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213 571,96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436 428,04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кадастровых работ в отношении объектов муниципальной казны, бесхозяйных недвижимых вещей, расположенных на территории городского округа (за исключением земельных участков)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сохранение объектов муниципальной казны (за исключением земельных участков, объектов жилого фонда, имущества, переданного во временное владение (пользование) третьими лицами)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5 467 253,33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5 467 253,33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Определение рыночно обоснованной стоимости имущества муниципальной казны, размера возмещения за изымаемое жилое (нежилое) помещение, расположенного в многоквартирном доме, признанном аварийным и подлежащим сносу, рыночной стоимости наследуемого выморочного имущества, величины арендной платы муниципального имущества, размера платежа за право заключения договора безвозмездного пользования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405 800,00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405 800,00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Управление и распоряжение объектами муниципальной казны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5 450 000,00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специализированной техники, насосных установок, оборудования, инвентаря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0440121610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2 390 734,14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0440121610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2 390 734,14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"Обеспечение деятельности органов администрации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39 576 020,00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39 383 920,00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39 383 920,00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39 576 020,00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39 383 920,00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39 383 920,00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38 924 743,00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38 924 743,00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38 924 743,00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651 277,00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459 177,00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459 177,00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"Поддержка социально ориентированных некоммерческих организаций на территории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1 940 743,21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"Оказание финансовой поддержки социально ориентированным некоммерческим организациям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140 743,21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поддержку социально ориентированным некоммерческим организациям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реализацию конкурсов социально значимых проектов социально ориентированных некоммерческих организаций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140 743,21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140 743,21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"Оказание информационной и консультационной поддержки социально ориентированным некоммерческим организациям"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Популяризация деятельности социально ориентированных некоммерческих организаций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0540220180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0540220180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семинаров для социально ориентированных некоммерческих организаций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0540221390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0540221390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 (на реализацию социально значимых проектов)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05403S2640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05403S2640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за счет средств местного бюджета по поддержке социально ориентированных некоммерческих организаций по итогам конкурсного отбора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05411S2640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05411S2640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за счет средств местного бюджета по поддержке социально ориентированных некоммерческих организаций по итогам конкурсного отбора (на реализацию социально значимых проектов)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 (на реализацию социально значимых проектов),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05413S2640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05413S2640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торговли на территории Уссурийского городского округа Приморского края" на 2026-2028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условий для развития розничной торговли, стимулирование деловой активности хозяйствующих субъектов, осуществляющих торговую деятельность и обеспечение защиты прав потребителей на территории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проведение смотра-конкурса "Лучшее художественное, световое оформление предприятий торговли Уссурийского городского округа Приморского края к Новому году"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выполнение работ по обустройству, содержанию и оформлению ярмарочных площадок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разработке и изготовлению буклетов, листовок, наклеек об обязательной маркировке отдельных видов товаров ( система цифровой маркировки "Честный знак")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Ведение рубрики в печатном издании по вопросам защиты прав потребителей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жильем молодых семей Уссурийского городского округа Приморского края" на 2026-2030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38 052 060,80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18 648 232,59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21 529 140,16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социальных выплат молодым семьям для приобретения (строительства) стандартного жилья"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38 052 060,80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18 648 232,59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21 529 140,16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Производство и приобретение полиграфической, рекламной продукции по освещению деятельности в рамках обеспечения жильем молодых семей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0840120780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0840120780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 по обеспечению жильем молодых семей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08401L4970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08401L4970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"Переселение граждан из аварийного жилищного фонда в Уссурийском городском округе Приморского края" на 2019-2027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84 305 753,23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"Жилье"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70 419 347,93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мероприятий по переселению граждан из аварийного жилищного фонда за счет средств, поступивших от публично – правовой компании "Фонд развития территории"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37 872 601,32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37 872 601,32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Переселение граждан из аварийного жилищного фонда за счет средств краевого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29 820 408,61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29 820 408,61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жилых помещений на первичном рынке жилья с целью переселения граждан, проживающих в многоквартирных домах, признанных аварийными и подлежащими сносу после 01 января 2017 года, включенных в этап переселения на 2025-2026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091И26748S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2 726 338,00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091И26748S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2 726 338,00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"Формирование жилищного фонда для переселения граждан из многоквартирных домов, признанных аварийными и подлежащими сносу или реконструкции в связи с физическим износом в процессе эксплуатации"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экспертизы проектно-изыскательной организацией для определения технического состояния несущих конструктивных элементов и процента физического износа многоквартирных домов муниципального жилищного фонда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0940120340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0940120340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"Выполнение сноса аварийных домов"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13 386 405,30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Снос расселенных многоквартирных домов, признанных аварийными и подлежащими сносу в связи с физическим износом в процессе эксплуатации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0940320360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12 859 405,30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0940320360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12 859 405,30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Определение размера возмещения изымаемых у собственников жилых помещений, расположенных в многоквартирных домах, признанных аварийными и подлежащими сносу в связи с физическим износом в процессе эксплуатации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проведение работ по ограничению доступа третьих лиц в многоквартирные дома, признанные аварийными и подлежащими сносу в связи с физическим износом в процессе эксплуатации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0940322310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0940322310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"Противодействие коррупции в Уссурийском городском округе Приморского края" на 2022 - 2027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"Антикоррупционное обучение"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противодействию коррупции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1040221210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1040221210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"Антикоррупционная пропаганда, информирование населения об антикоррупционной деятельности"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конкурсов рисунков, сочинений антикоррупционной направленности среди учащихся образовательных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1040421200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1040421200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"Формирование нетерпимого отношения к коррупционным проявлениям"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анализа информации, содержащейся в используемых государственных информационных системах и системе профессионального анализа рынков и компаний с целью выявления ситуаций, рассматриваемых как конфликт интересов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1040521710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1040521710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"Информирование населения об антикоррупционной деятельности"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противодействию коррупции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1040721210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1040721210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"Проведение капитального ремонта общего имущества многоквартирных домов, муниципальных жилых помещений и проведение мероприятий, связанных со своевременностью поступления в бюджет Уссурийского городского округа Приморского края платы за наем муниципальных жилых помещений и содержанием свободных муниципальных жилых помещений" на 2026-2028 годы"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66 433 295,35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"Создание условий для управления многоквартирными домами"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15 476 284,85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созданию условий для управления многоквартирными домами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12206S2330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15 476 284,85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12206S2330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15 476 284,85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12207S2140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12207S2140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созданию условий для управления многоквартирными домами,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478 647,99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созданию условий для управления многоквартирными домами,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12216S2330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478 647,99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12216S2330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478 647,99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12217S2140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12217S2140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обязательного и дополнительного взносов в части муниципальной доли на капитальный ремонт общего имущества многоквартирных домов"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Перечисление обязательных взносов на капитальный ремонт общего имущества многоквартирных домов, исходя из площади муниципального жилищного фонда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1240220300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1240220300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ремонта муниципальных жилых помещений, свободных от регистрации и проживания, проведение санитарно-эпидемиологической экспертизы условий проживания, ремонт муниципальных жилых помещений, по которым имеется решение суда"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муниципальных жилых помещений, проведение санитарно-эпидемиологической экспертизы условий проживания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1240320320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1240320320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обеспечению поступлений в бюджет Уссурийского городского округа Приморского края платежей, пеней и штрафов в части платы за наем"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Работы, направленные на своевременное поступление в местный бюджет платы за наем муниципальных жилых помещений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1240420820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1240420820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работ, связанных с содержанием свободного муниципального жилищного фонда"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7 104 341,51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проведение работ по ограничению доступа третьих лиц в свободные муниципальные жилые помещения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Оплата за поставленные коммунальные услуги, в том числе по оплате ОДН ресурсоснабжающим организациям за свободные муниципальные жилые помещения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5 754 341,51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5 754 341,51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Оплата управляющим организациям за содержание свободных муниципальных жилых помещений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физической культуры, массового спорта и укрепление общественного здоровья в Уссурийском городском округе Приморского края" на 2021 - 2028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320 979 317,00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248 476 525,13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253 477 002,08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"Организация, проведение официальных физкультурных и спортивных массовых мероприятий и участие спортивных сборных команд Уссурийского городского округа Приморского края в спортивных мероприятиях"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4 720 713,94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932 098,07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932 589,77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физкультурно-спортивной работы по месту жительства.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932 098,07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932 589,77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932 098,07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932 589,77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4 720 713,94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4 720 713,94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"Привлечение населения Уссурийского городского округа Приморского края к занятиям физической культурой и спортом"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31 183 912,42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 МАУ ПБ "Чайка"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14204L1330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31 183 912,42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14204L1330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31 183 912,42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1421200000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79 545,55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14212S2520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79 545,55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14212S2520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79 545,55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популяризации физической культуры и массового спорта"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4 584 938,27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лучших спортсменов, тренеров и руководителей физического воспитания и физкультурно-спортивных организаций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1440180040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3 054 074,07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1440180040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3 054 074,07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Государственная поддержка организаций, входящих в систему спортивной подготовки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14401L0810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1 530 864,20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14401L0810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1 530 864,20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"Организация, проведение официальных физкультурных и спортивных массовых мероприятий и участие спортивных сборных команд Уссурийского городского округа Приморского края в спортивных мероприятиях"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3 688 673,41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2 632 037,06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3 202 022,31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проведению официальных физкультурных и спортивных массовых мероприятий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1440220670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2 660 943,41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2 352 037,06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1440220670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2 660 943,41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2 352 037,06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физкультурно-спортивных занятий по месту жительства граждан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1440221120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1 027 730,00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352 022,31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1440221120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1 027 730,00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352 022,31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"Субсидии муниципальным автономным учреждениям спортивной направленности на выполнение муниципального задания"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253 275 637,88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242 572 390,00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242 572 390,00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21 543 129,88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4 596 373,00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4 596 373,00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21 543 129,88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4 596 373,00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4 596 373,00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181 081 802,00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190 950 203,00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196 249 286,00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181 081 802,00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190 950 203,00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196 249 286,00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50 650 706,00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47 025 814,00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41 726 731,00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50 650 706,00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47 025 814,00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41 726 731,00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"Привлечение населения Уссурийского городского округа Приморского края к занятиям физической культурой и спортом"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23 445 895,53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4 170 000,00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 - техническому обеспечению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развитию спортивной инфраструктуры, находящейся в муниципальной собственности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терроризма и экстремизма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 по установке и (или) благоустройству спортивных площадок, расположенных на территории Уссурийского городского округа Приморского края, в рамках реализации конкурса социально значимых проектов "Спортивный дворик"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затрат, связанных с подготовкой и содержанием хоккейных коробок к проведению физкультурно-массовых мероприятий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капитального ремонта объектов спортивной инфраструктуры муниципальной собственности МАУ ПБ "Чайка",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14404Д1330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3 175 895,53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14404Д1330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3 175 895,53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7 051 771 287,10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8 959 499 045,04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8 538 739 955,66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"Всё лучшее детям"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314 464 166,94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1 320 214 844,23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1 440 234 375,00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школ в отдельных населенных пунктах с объективно выявленной потребностью инфраструктуры (зданий) школ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151Ю450490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213 657 715,33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237 397 531,25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151Ю450490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213 657 715,33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237 397 531,25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школ в отдельных населенных пунктах с объективно выявленной потребностью инфраструктуры (зданий) школ за счет средств краевого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151Ю4А0490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1 082 817 312,98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1 440 234 375,00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151Ю4А0490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1 082 817 312,98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1 440 234 375,00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"Педагоги и наставники"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142 134 646,56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150 098 167,20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150 282 110,88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Приморского края, муниципальных общеобразовательных организаций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151Ю650500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3 866 940,00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3 866 940,00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3 866 940,00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151Ю650500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3 749 760,00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3 749 760,00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3 749 760,00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151Ю650500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117 180,00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117 180,00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117 180,00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151Ю651790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12 492 706,56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14 840 227,20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15 024 170,88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151Ю651790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11 710 098,56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14 043 477,20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14 219 120,88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151Ю651790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782 608,00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796 750,00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805 050,00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151Ю653030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125 775 000,00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131 391 000,00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131 391 000,00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151Ю653030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119 681 640,00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125 297 640,00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125 297 640,00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151Ю653030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6 093 360,00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6 093 360,00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6 093 360,00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"Поддержка семьи"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464 586 797,48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946 415 827,66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716 320 100,80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(зданий)(строительство детского сада по ул. Выгонной, 20 Уссурийский городской округ)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(зданий)(строительство детского сада по ул. Московской, Уссурийский городской округ)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 за счет средств краевого бюджета (строительство детского сада по ул. Выгонной, 20 Уссурийский городской округ)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 за счет средств краевого бюджета (строительство детского сада по ул. Московской, Уссурийский городской округ)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"Развитие системы дошкольного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1 251 350 149,64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1 292 547 074,00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1 377 936 256,00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1520193070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1 203 843 127,00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1 292 547 074,00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1 377 936 256,00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1520193070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1 154 485 559,00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1 239 552 644,00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1 321 440 870,00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1520193070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49 357 568,00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52 994 430,00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56 495 386,00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Возмещение расходов частных дошкольных образовательных организаций, индивидуальных предпринимателей, возникающих при создании условий для осуществления присмотра и ухода за детьми дошкольного возраста.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15201S2070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47 507 022,64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15201S2070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47 507 022,64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"Развитие системы общего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2 289 235 783,35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2 454 162 352,00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2 613 601 773,00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образовательных организациях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1520393060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2 288 952 631,00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2 454 162 352,00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2 613 601 773,00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1520393060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2 163 060 236,00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2 353 541 696,00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2 506 444 100,00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1520393060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125 892 395,00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100 620 656,00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107 157 673,00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зданий муниципальных общеобразовательных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15203S2340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283 152,35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15203S2340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283 152,35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"Создание дополнительных мест в системе общего образования за счет строительства новых зданий и проведения реконструкции существующих зданий"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36 817 718,96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857 862 903,23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Строительство, реконструкция и приобретение зданий муниципальных общеобразовательных организаций. реконструкция здания муниципального бюджетного общеобразовательного учреждения "Воздвиженская средняя общеобразовательная школа № 1"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15204S2040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36 817 718,96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857 862 903,23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15204S2040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36 817 718,96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857 862 903,23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"Организация отдыха, оздоровления и занятости детей и подростков"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51 691 529,38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53 759 679,22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60 410 822,31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оздоровления и отдыха детей Приморского края (за исключением организации отдыха детей в каникулярное время)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51 691 529,38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53 759 679,22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55 910 822,31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39 136 199,50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41 349 679,22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43 380 822,31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2 555 329,88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оздоровительных лагерей, находящихся в собственности муниципальных образований.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15207S2030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15207S2030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"Предоставление мер социальной поддержки участникам образовательного процесса"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120 332 166,00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145 380 004,00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148 354 211,00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49 595 166,00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74 643 004,00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77 617 211,00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18 476,94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49 576 689,06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74 643 004,00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77 617 211,00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бесплатным питанием детей, обучающихся в муниципальных образовательных организациях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1520993150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1520993150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67 197 000,00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67 197 000,00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67 197 000,00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1520993150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3 540 000,00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недополученных доходов и (или) возмещение фактически понесенных затрат,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1 664 517,89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недополученных доходов и (или) возмещение фактически понесенных затрат,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15211S2070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1 664 517,89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15211S2070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1 664 517,89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направлениям "Твой проект" и "Молодежный бюджет"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4 545 454,55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"Установка хоккейной коробки на территории МБОУ СОШ п. Тимирязевский 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"Безопасность для самых маленьких",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"Учительский сквер"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"Ограждение пришкольной территории",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направлениям "Твой проект" и "Молодежный бюджет"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4 575 757,59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"Установка хоккейной коробки на территории МБОУ СОШ п. Тимирязевский",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"Безопасность для самых маленьких"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"Учительский сквер",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 Площадка ПДД",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"Ограждение пришкольной территории"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"Проект по благоустройству школьной территории "Наш младший дом",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 Площадка ПДД"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1523300000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 Площадка ПДД"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15233S2752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15233S2752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"Проект по благоустройству школьной территории "Наш младший дом"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1524300000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"Проект по благоустройству школьной территории "Наш младший дом"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15243S2754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15243S2754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дошкольного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744 686 533,29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692 178 677,29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742 425 806,91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 - техническому обеспечению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1 885 025,00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1 885 025,00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(ремонт) образовательных учреждений (включая разработку проектно-сметной документации)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13 024 143,40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11 714 895,41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1 309 247,99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осуществлению контроля за ходом выполнения работ, оказания услуг, приобретения товаров (включая проведение их экспертизы)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53 435,80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53 435,80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130 759 969,34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68 132 812,00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91 342 163,14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126 905 496,34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64 860 699,00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87 907 948,14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3 854 473,00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3 272 113,00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3 434 215,00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299 279 155,58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310 193 964,00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313 295 906,00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287 955 017,58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298 756 585,00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301 744 153,00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11 324 138,00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11 437 379,00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11 551 753,00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99 598 695,00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103 582 644,00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107 725 955,00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95 397 063,00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99 212 947,00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103 181 470,00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4 201 632,00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4 369 697,00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4 544 485,00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обеспечение бесплатным питанием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200 086 109,17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210 269 257,29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225 061 782,77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185 914 946,17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201 747 843,00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215 734 259,00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14 171 163,00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8 521 414,29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9 327 523,77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"Создание дополнительных мест в системе дошкольного образования за счет строительства новых зданий и проведения реконструкции существующих зданий"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1 582 436,20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проектно-сметной документации на снос здания детского сада по ул. Промышленной, 5 д в г. Уссурийске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1540222360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877 439,33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1540222360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877 439,33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объекта "Детский сад на 220 мест по ул. Выгонная, земельный участок № 1а. в г. Уссурийске"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1540245810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704 996,87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1540245810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704 996,87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общего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651 189 493,56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519 647 265,00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570 005 151,53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 - техническому обеспечению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7 978 288,77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7 518 755,77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459 533,00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проведении капитального ремонта (ремонта) образовательных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116 063,73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116 063,73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(ремонт) образовательных учреждений (включая разработку проектно-сметной документации)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37 927 138,59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31 068 129,12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6 859 009,47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зданий муниципальных общеобразовательных учреждений,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30 334 489,30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30 334 489,30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осуществлению контроля за ходом выполнения работ, оказания услуг, приобретения товаров (включая проведение их экспертизы)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166 844,12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166 844,12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161 412 518,05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98 324 935,00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131 914 215,53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155 239 849,05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93 009 919,00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126 355 985,53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6 172 669,00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5 315 016,00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5 558 230,00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266 778 045,00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273 668 067,00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276 404 748,00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248 224 499,00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254 928 986,00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257 478 277,00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18 553 546,00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18 739 081,00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18 926 471,00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129 778 350,00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134 969 490,00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140 368 269,00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116 295 608,00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120 947 440,00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125 785 336,00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13 482 742,00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14 022 050,00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14 582 933,00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обеспечение бесплатным питанием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16 697 756,00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12 684 773,00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16 317 919,00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16 697 756,00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12 684 773,00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16 317 919,00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дополнительных мест в системе общего образования за счет строительства новых зданий и проведения реконструкции существующих зданий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392 590,85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197 988 251,97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Реконструкция здания муниципального бюджетного общеобразовательного учреждения "Воздвиженская средняя общеобразовательная школа № 1" Уссурийского городского округа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1540445860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392 590,85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197 988 251,97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1540445860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392 590,85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197 988 251,97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дополнительного образования детей и проведение мероприятий с детьми и молодежью"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279 158 406,61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267 493 454,00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268 041 473,53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детьми и молодежью в образовательных учреждениях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82 212,00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1 897 788,00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Развитие военно-патриотического воспитания среди детей и молодежи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1540521620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1540521620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(возмещение) затрат, 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рамках муниципального социального заказа с использованием социального сертификата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1540560030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48 352 979,88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33 270 222,00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19 045 493,53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1540560030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47 198 302,00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32 497 878,00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19 045 493,53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1540560030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1 154 677,88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772 344,00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дополнительного образования детей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6 415 654,73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6 078 373,00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6 458 743,00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6 415 654,73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6 078 373,00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6 458 743,00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дополнительного образования детей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50 426 704,00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54 131 463,00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57 666 612,00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50 426 704,00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54 131 463,00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57 666 612,00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дополнительного образования детей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125 422,00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130 440,00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135 658,00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125 422,00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130 440,00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135 658,00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направлению деятельности "реализация дополнительных общеразвивающих программ для детей" в рамках муниципального социального заказа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12 627 843,00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13 948 224,00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14 453 316,00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12 627 843,00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13 948 224,00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14 453 316,00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направлению деятельности "реализация дополнительных общеразвивающих программ для детей" в рамках муниципального социального заказа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144 487 198,00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155 127 217,00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165 281 827,00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144 487 198,00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155 127 217,00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165 281 827,00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направлению деятельности "реализация дополнительных общеразвивающих программ для детей" в рамках муниципального социального заказа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4 622 605,00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4 807 515,00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4 999 824,00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4 622 605,00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4 807 515,00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4 999 824,00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талантливых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выпускников муниципальных общеобразовательных организаций, окончивших школу с медалью "За особые успехи в учении"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"Безопасность образовательных учреждений"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23 929 845,17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7 374 919,00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125 081,00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терроризма и экстремизма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16 125 845,17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16 125 845,17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безопасности при организации перевозки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1540620970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304 000,00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1540620970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304 000,00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отдыха, оздоровления и занятости детей и подростков"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36 978 565,00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15 399 015,00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15 729 456,00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Трудоустройство несовершеннолетних граждан в возрасте от 14 до 18 лет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10 021 732,76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778 267,24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Материально-техническое обеспечение муниципального автономного учреждения "Детский оздоровительный лагерь "Надежда", с.Каймановка, ул.Центральная 1б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2 625 218,00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2 730 228,00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2 839 437,00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2 625 218,00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2 730 228,00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2 839 437,00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9 423 105,00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9 517 336,00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9 612 510,00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9 423 105,00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9 517 336,00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9 612 510,00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755 309,00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785 521,00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816 942,00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755 309,00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785 521,00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816 942,00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обеспечение бесплатным питанием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2 274 933,00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2 365 930,00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2 460 567,00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2 274 933,00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2 365 930,00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2 460 567,00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1540794050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1540794050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10 021 732,76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1540794050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778 267,24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сопровождения деятельности учреждений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54 693 737,83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54 390 970,71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55 184 336,23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34 589 790,00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33 961 417,07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628 372,93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участниками образовательного процесса, совершенствование системы кадрового потенциала в сфере образования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279 280,00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750 720,00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"Методический кабинет"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1540871090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19 073 947,83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19 833 590,71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20 626 956,23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1540871090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18 559 669,47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19 198 552,71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19 966 516,23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1540871090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514 278,36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635 038,00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660 440,00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мер социальной поддержки участникам образовательного процесса"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220 115 091,00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189 948 811,50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182 225 830,50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бесплатным питанием обучающихся 5 - 11 классов муниципальных общеобразовательных организаций Уссурийского городского округа Приморского края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1540921770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24 961 755,00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1540921770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23 721 432,00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1540921770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1 240 323,00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15409R3040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195 153 336,00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189 948 811,50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182 225 830,50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15409R3040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184 406 796,00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179 202 271,50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171 479 290,50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15409R3040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10 746 540,00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10 746 540,00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10 746 540,00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объекта "Детский сад на 220 мест по ул. Выгонная, земельный участок № 1а. в г. Уссурийске"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354 645 899,25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мероприятий, источником финансового обеспечения которых являются специальные казначейские кредиты из федерального бюджета (строительство, реконструкция, приобретение зданий (в том числе проектно-изыскательские работы)муниципальных образовательных организаций, реализующих основную общеобразовательную программу дошкольного образования) Строительство объекта "Детский сад на 220 мест по ул. Выгонная, земельный участок № 1а. в г. Уссурийске"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1541197009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354 645 899,25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1541197009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354 645 899,25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культуры и искусства Уссурийского городского округа Приморского края" на 2023-2028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859 919 908,90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697 745 094,18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733 876 671,69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Развитие сети учреждений культурно-досугового типа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29 652 460,41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142 816,06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144 303,73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региональных и муниципальных библиотек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142 816,06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144 303,73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142 816,06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144 303,73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учреждений культуры, включая создание детских культурно-просветительских центров на базе учреждений культуры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4 038 686,36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4 038 686,36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региональных и (или) муниципальных учреждений культуры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171Я555131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25 613 774,05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171Я555131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25 613 774,05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"Материально-техническое обеспечение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3 976 299,61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1 234 837,96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1 234 837,96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развития и укрепления материально-технической базы муниципальных домов культуры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2 061 855,67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2 061 855,67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музыкальных инструментов и художественного инвентаря для учреждений дополнительного образования детей в сфере культуры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муниципальных библиотек.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1 546 391,75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1 546 391,75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Комплектование книжных фондов и обеспечение информационно-техническим оборудованием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368 052,19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368 052,19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"Реконструкция, ремонт и благоустройство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19 647 161,24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сохранению объектов культурного наследия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17205S2490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19 647 161,24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17205S2490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19 647 161,24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обеспечения населения услугами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754 718 280,79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693 044 463,48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729 165 125,35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18 362 693,69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19 220 353,69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19 944 233,68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18 255 592,16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19 096 862,76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19 820 742,71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103 968,60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120 450,51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120 543,06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3 132,93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3 040,42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2 947,91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материально-техническому обеспечению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20 607,10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20 607,10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общегородских мероприятий, фестивалей, конкурсов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3 207 477,76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11 634 173,44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3 207 477,76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11 634 173,44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дополнительного образования детей в образовательных учреждениях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9 347 217,32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9 347 217,32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дополнительного образования детей в образовательных учреждениях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128 776 744,40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143 034 765,00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146 561 480,00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128 776 744,40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143 034 765,00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146 561 480,00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дополнительного образования детей в образовательных учреждениях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2 654 202,89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2 654 202,89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библиотечному обслуживанию населения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3 861 102,28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3 861 102,28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библиотечному обслуживанию населения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114 025 698,00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123 808 253,00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128 376 921,00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114 025 698,00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123 808 253,00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128 376 921,00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библиотечному обслуживанию населения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2 661 457,11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2 661 457,11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спектаклей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891 533,00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891 533,00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спектаклей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121 738 009,00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133 273 349,00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138 203 439,00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121 738 009,00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133 273 349,00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138 203 439,00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спектаклей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3 979 920,00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3 979 920,00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музейных услуг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2 361 790,25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2 361 790,25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музейных услуг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24 306 085,00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25 895 861,00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26 855 106,00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24 306 085,00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25 895 861,00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26 855 106,00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музейных услуг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714 021,53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714 021,53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проведению культурно досуговых мероприятий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21 055 070,61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19 362 163,25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1 692 907,36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проведению культурно досуговых мероприятий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149 911 702,57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168 149 316,12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176 159 670,11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105 932 276,35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117 899 756,97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122 255 074,31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43 979 426,22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50 249 559,15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53 904 595,80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проведению культурно досуговых мероприятий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15 515 727,69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12 976 458,44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2 539 269,25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деятельности клубных формирований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4 313 873,51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2 247 393,95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2 066 479,56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деятельности клубных формирований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65 636 818,43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76 421 745,88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81 426 673,89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12 295 710,65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15 471 012,03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16 042 524,69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53 341 107,78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60 950 733,85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65 384 149,20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деятельности клубных формирований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4 584 006,41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1 506 196,07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3 077 810,34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17401L4660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33 342,03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3 428,23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17401L4660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33 342,03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3 428,23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"Материально-техническое обеспечение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24 298 322,75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2 114 976,68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2 124 404,65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материально-техническому обеспечению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18 166 649,72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16 977 515,72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1 189 134,00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Предоставление доступа пользователей библиотек к электронным ресурсам через сеть Интернет, комплектование книжных фондов и обеспечение информационно-техническим оборудованием библиотек, в т.ч. подписка на периодические издания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4 555 000,00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4 555 000,00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17402L4670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1 322 122,95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1 234 976,68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1 244 404,65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17402L4670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1 322 122,95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1 234 976,68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1 244 404,65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Государственная поддержка отрасли культуры (поддержка муниципальных учреждений культуры, находящихся на территории сельских поселений)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17402L5195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254 550,08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17402L5195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254 550,08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1740320620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1740320620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безопасности деятельности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10 449 795,39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7 908 138,41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2 867 675,80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5 040 462,61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терроризма и экстремизма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2 541 656,98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2 541 656,98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"Реконструкция, ремонт и благоустройство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9 450 018,29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и благоустройство учреждений культуры и искусства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1740520610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9 450 018,29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1740520610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2 615 848,29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1740520610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6 834 170,00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"Оформление в муниципальную собственность и обеспечение сохранности объектов культурного наследия и памятников"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5 740 570,42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сохранности объектов культурного наследия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реставрации, ремонту и благоустройству памятников и объектов культурного наследия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5 620 570,42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834 190,00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4 786 380,42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"Организация и осуществление мероприятий по работе с молодежью в Уссурийском городском округе Приморского края" на 2026 - 2030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мероприятий с молодежью"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мероприятий по гражданско-патриотическому воспитанию молодежи и здоровому образу жизни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мероприятий для интеллектуального и творческого развития молодежи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1840120660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1840120660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талантливой молодежи в области образования, науки, культуры спорта и общественной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1840180050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1840180050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"Комплексное развитие сельских территорий Уссурийского городского округа Приморского края" на 2020-2030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12 321 018,90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612 716,67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сооружений, за счет средств краевого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19201S2670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612 716,67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19201S2670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612 716,67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за счет средств местного бюджета по межеванию, паспортизации и постановке на кадастровый учет земельного участка, мелиоративных систем и отдельно стоящих гидротехнических сооружений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18 950,00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19211S2670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18 950,00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19211S2670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18 950,00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"Светлый путь к школе"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"Светлый путь к школе"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19212S2755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19212S2755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роста объемов производства основных видов продукции, в том числе и за счет увеличения объемов производства кооперативами, повысить ее качество"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369 200,71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Подготовка проектов межевания земельных участков и на проведение кадастровых работ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19401L5990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369 200,71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19401L5990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369 200,71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развития несельскохозяйственной деятельности, повышение экономической активности населения, улучшение качества жизни сельского населения и формирование позитивного отношения к сельской жизни"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9 805 000,00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проектно-сметной документации на обустройство детских и спортивных площадок в селах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Обустройство детских и спортивных площадок в селах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инициативного проекта "Реконструкция памятника А.П. Шитикову и благоустройство прилегающей территории"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"Моя Борисовка. Спорт на Новой"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"ЭКО — БЫТ"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"Охрана окружающей среды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86 926 104,29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148 013 740,00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осуществлению полномочий в области охраны окружающей среды"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15 628 057,18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15 628 057,18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9 153 732,55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6 474 324,63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содержанию гидротехнических сооружений"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12 754 709,26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текущему содержанию гидротехнических сооружений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2040320140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2 699 173,10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776 350,00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2 776 350,00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2040320140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2 699 173,10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776 350,00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2 776 350,00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Подготовка деклараций безопасности гидротехнических сооружений и страхование гражданской ответственности владельца опасного объекта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2040321240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2040321240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 по содержанию гидротехнических сооружений расположенных на территории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2040360140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9 831 886,16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2040360140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9 831 886,16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"Защита населения и объектов экономики от негативного воздействия вод"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58 046 337,85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145 013 740,00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ремонту гидротехнических сооружений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2040420960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2040420960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расчистке ливневых стоков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2040421440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7 196 337,85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2040421440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7 196 337,85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Выполнение строительно монтажных работ по объекту "Гидротехническое сооружение "Раковский гидроузел"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2040445180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145 013 740,00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2040445180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145 013 740,00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мероприятий по содержанию городских лесов"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мероприятий по содержанию городских лесов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2040520920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2040520920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"Благоустройство территории Уссурийского городского округа Приморского края" на 2026 - 2028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243 329 192,75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63 371 080,00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73 371 080,00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"Современная зона отдыха"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2221800000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"Современная зона отдыха"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22218S2361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22218S2361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"Ремонт питьевых колодцев общего пользования"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"Ремонт питьевых колодцев общего пользования"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22219S2362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22219S2362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и озеленение территории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101 701 137,01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и содержание мест (площадок) накопления твердых коммунальных отходов, включая подъездные пути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объектов благоустройства и озеленения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и обустройство объектов (элементов) благоустройства и озеленения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общественных мероприятий по благоустройству и озеленению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зеленых насаждений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19 001 137,01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19 001 137,01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территории общего пользования, не переданных в аренду или собственность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31 964 400,00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31 964 400,00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"Предотвращение и устранение загрязнений водных объектов"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очистке и обеззараживанию шахтных колодцев, ликвидации аварийных шахтных колодцев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Подготовительные работы и эксплуатация временных площадок для складирования снега и льда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2240220220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2240220220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территорий общего пользования"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132 267 449,68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50 871 080,00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54 871 080,00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599 038,88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570 448,23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28 590,65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и обустройство объектов (элементов) благоустройства и озеленения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21 514 379,55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21 514 379,55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ремонт фонтанов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 общественных территорий, парков, скверов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64 236 840,13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64 236 840,13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"Дирекция парков и скверов"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43 417 191,12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43 371 080,00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43 371 080,00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33 275 692,25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33 608 449,20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33 944 533,69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10 107 341,87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9 728 473,80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9 392 389,31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34 157,00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34 157,00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34 157,00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"Уссурийские дороги"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1 188 036 973,29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309 419 830,00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"Обеспечение дорожной деятельности в Уссурийском городском округе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38 336 671,24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автомобильных дорог местного значения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23201SД008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38 336 671,24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23201SД008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38 336 671,24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"Обеспечение безопасности дорожного движения"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287 028 150,38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транспортного обслуживания населения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113 020 625,38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113 020 625,38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подвижного состава пассажирского транспорта общего пользования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23203S2770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174 007 525,00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23203S2770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174 007 525,00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"Реконструкция автомобильной дороги ул. Чичерина в г. Уссурийске на участке км 1+800 - км 3+000 (в том числе искусственных сооружений на них"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2321500000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435 572 750,21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Проектирование, строительство (реконструкция) автомобильных дорог общего пользования населенных пунктов (Реконструкция автомобильной дороги ул. Чичерина в г. Уссурийске на участке км 1+800 - км 3+000 (в том числе искусственных сооружений на них)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23215SД007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435 572 750,21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23215SД007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435 572 750,21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дорожной деятельности в Уссурийском городском округе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395 149 325,48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309 419 830,00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220 447,60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220 447,60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автомобильных дорог общего пользования местного значения и искусственных сооружений на них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2340120210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323 941 211,24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2340120210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323 941 211,24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Оценка технического состояния, классификация по категориям, паспортизация автомобильных дорог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инженерных изысканий и разработка проектной документации автомобильных дорог и их элементов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4 757 666,64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4 757 666,64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движения общественного пассажирского транспорта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2340121570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2340121570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Реконструкция автомобильной дороги ул. Чичерина в г. Уссурийске на участке км 1+800 - км 3+000 (в том числе искусственных сооружений на них)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2340145710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269 419 830,00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2340145710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269 419 830,00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безопасности пассажирских перевозок"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473 767,78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Устройство и ремонт автобусных остановочных пунктов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2340221500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473 767,78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2340221500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473 767,78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безопасности дорожного движения"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14 476 308,20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Устройство технических средств регулирования на автомобильных дорогах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3 775 523,58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3 775 523,58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временного ограничения движения транспортных средств на автомобильных дорогах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1 725 499,62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1 725 499,62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Оценка транспортной сети и маршрутной системы, с формированием схемы организации транспортного обслуживания населения общественным транспортом по муниципальным маршрутам регулярных перевозок на территории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2340322350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8 975 285,00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2340322350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8 975 285,00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работы системы ливневой канализации"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ремонт сетей ливневой канализации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2340520230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2340520230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инженерной инфраструктурой, качественными услугами жилищно-коммунального хозяйства населения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234 442 937,34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212 851 010,00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"Обеспечение граждан твердым топливом"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2 079 279,84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24204S2620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2 079 279,84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24204S2620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2 079 279,84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"Подъездные автомобильные дороги, проезды в микрорайоне в границах ул. Анучинская"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41 758 443,15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Устройство временных подъездных путей, проектирование, строительство, капитальный ремонт и ремонт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 (Строительство подъездных автомобильных дорог, проездов в микрорайоне в границах ул. Анучинская)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24205SД005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41 758 443,15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24205SД005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41 758 443,15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64 307,62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24214S2620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64 307,62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24214S2620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64 307,62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земельных участков, предоставленных на бесплатной основе гражданам, имеющим трех и более детей, инженерной инфраструктурой "Проектирование и строительство инженерной инфраструктуры водоснабжения к земельным участкам предоставленным гражданам, имеющим трех и более детей, в городе Уссурийск в районе с.Воздвиженка"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26 706 126,05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земельных участков, предоставленных на бесплатной основе гражданам, имеющим трех и более детей, инженерной инфраструктурой "Проектирование и строительство инженерной инфраструктуры водоснабжения к земельным участкам предоставленным гражданам, имеющим трех и более детей, в городе Уссурийск в районе с.Воздвиженка"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24219S2100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26 706 126,05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24219S2100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26 706 126,05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"Реконструкция объектаКомплекс биологической очистки (доочистки) и обеззараживания сточных вод, производительностью 150 куб. м/сут. на очистных сооружениях с. Пуциловка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2422200000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34 591 080,74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(или) строительство, реконструкция (модернизация), капитальный ремонт объектов водопроводно-канализационного хозяйства (Реконструкция объекта Комплекс биологической очистки (доочистки) и обеззараживания сточных вод, производительностью 150 м3/сут. на очистных сооружениях с. Пуциловка 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24222S2320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34 591 080,74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24222S2320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34 591 080,74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2 827 062,47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в области инженерной инфраструктуры к земельным участкам, предоставленным гражданам, имеющим трех и более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2440022340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2 827 062,47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2440022340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2 827 062,47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"Комплекс биологической очистки (доочистки) и обеззараживания сточных вод, производительностью 300м3/сут. на очистных сооружениях канализации с. Раковка"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102 912 680,00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211 251 010,00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инфраструктурных проектов за счет средств казначейского инфраструктурного кредита ( Развитие коммунальной инфраструктуры Приморского края (комплекс биологической очистки (доочистки) и обеззараживания сточных вод на очистных сооружениях канализации с. Заречное Уссурийского городского округа))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51 240 100,00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105 230 350,00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51 240 100,00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105 230 350,00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инфраструктурных проектов за счет средств казначейского инфраструктурного кредита ( Развитие коммунальной инфраструктуры Приморского края (комплекс биологической очистки (доочистки) и обеззараживания сточных вод на очистных сооружениях канализации с. Раковка Уссурийского городского округа))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51 672 580,00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106 020 660,00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51 672 580,00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106 020 660,00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"Подъездные автомобильные дороги, проезды, обеспечение инженерной инфраструктурой земельных участков предоставленным гражданам, имеющим трех и более детей, в г. Уссурийске в районе ул. Анучинская"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115 377,84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строительство инженерной инфраструктуры водоотведения к земельным участкам предоставленным гражданам, имеющим трех и более детей,в городе Уссурийск в районе ул. Анучинская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73 941,64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73 941,64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строительство инженерной инфраструктуры водоснабжения к земельным участкам предоставленным гражданам, имеющим трех и более детей,в городе Уссурийск в районе ул. Анучинская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41 436,20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41 436,20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 (дрова),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 (дрова),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2440422370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2440422370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дорог, предоставленным многодетным семьям в городе Уссурийск в районе с. Корсаковка"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238 054,69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Корсаковка (подготовка проектной документации и проведение инженерных изысканий)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2441141880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238 054,69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2441141880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238 054,69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дорог, предоставленным многодетным семьям в городе Уссурийск в районе с. Красный Яр"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5 186 167,11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Красный Яр (подготовка проектной документации и проведение инженерных изысканий)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2441241880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5 186 167,11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2441241880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5 186 167,11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Борисовка"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287 095,25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Борисовка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2441445380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287 095,25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2441445380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287 095,25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дорог, предоставленным многодетным семьям в городе Уссурийск в районе улицы 8 Марта"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194 494,94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улицы 8 Марта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2441645440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194 494,94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2441645440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194 494,94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инженерной инфраструктуры к земельным участкам предоставленным гражданам, имеющих трех и более детей, в городе Уссурийск в районе с. Воздвиженка"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177 690,41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строительство инженерной инфраструктуры водоотведения к земельным участкам предоставленным гражданам, имеющих трех и более детей, в городе Уссурийск в районе с. Воздвиженка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2441941560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177 690,41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2441941560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177 690,41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улицы Коршунова"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61 404,35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улицы Коршунова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2442441310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61 404,35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2442441310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61 404,35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инженерными сетями к микрорайону в границах улиц Общественная, Барабашевская, Черепанова, Саперная, Заводская, территория войсковой части, территория садового общества Образование-4"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866 494,31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Комплексное проектирование подъездных автомобильных дорог, сетей электроснабжения для микрорайона в г. Уссурийске, ул. Общественная, ул. Барабашевская, ул. Черепанова, ул. Саперная,ул. Заводская, территория войсковой части, территория садового общества Образование-4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2442546060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866 494,31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2442546060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866 494,31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Очистные сооружения канализации в с. Корсаковка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13 211 178,57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Технологическое подключение к электрическим сетям земельных участков предоставленных многодетным семьям в Уссурийском городском округе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2443221870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13 211 178,57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2443221870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13 211 178,57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единовременные компенсационные выплаты на приобретение и установку нецентрализованных систем водоснабжения, водоотведения на земельных участках, предоставленных гражданам, имеющим трех и более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единовременные компенсационные выплаты на приобретение и установку нецентрализованных систем водоснабжения, водоотведения на земельных участках, предоставленных гражданам, имеющим трех и более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2443522060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2443522060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Уссурийск, в районе п.Тимирязевский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Уссурийск, в районе п.Тимирязевский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2443742020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2443742020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сферы ритуальных услуг и похоронного дела на территории Уссурийского городского округа Приморского края" на 2016-2028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52 641 419,93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и содержание кладбищ"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52 141 419,93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благоустройство общественных кладбищ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49 071 419,93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49 071 419,93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кадастровых работ по оформлению земельных участков общественных кладбищ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Противоклещевая обработка общественных кладбищ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2540120420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2540120420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внутриквартальных дорог с асфальтовым покрытием на городском кладбище по ул. Русская, 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Инвентаризация общественных кладбищ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санитарно-защитных зон кладбищ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кадастровых работ и разработка проекта санитарно-защитной зоны общественного кладбища с адресом ориентира: г. Уссурийск, ул. Русская, 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2540320850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2540320850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"Комплексные меры по профилактике правонарушений на территории Уссурийского городского округа Приморского края" на 2018 - 2028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7 935 020,00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информационно-пропагандистской работы. направленной на профилактику терроризма и экстремизма. усиление антитеррористической защищенности объектов культуры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5 085 710,00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4 745 710,00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1 477 545,45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3 113 164,55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осуществлению контроля за ходом выполнения работ, оказания услуг (включая проведение их экспертизы) на объектах учреждений культуры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2940122380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2940122380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МКУ "АХУ" УГО ПК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"Создание условий для деятельности народных дружин и общественных объединений правоохранительной направленности на территории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54 500,00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174 500,00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правосознания и уровня правовой культуры граждан, профилактика правонарушений (в том числе наркомании) на территории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проведения мероприятий по профилактике правонарушений на территории Уссурийского городского округа Приморского края, повышению правосознания и уровня правовой культуры граждан"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2 490 310,00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421 000,00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1 421 000,00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2 490 310,00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421 000,00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1 421 000,00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2 390 310,00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321 000,00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информационного общества в Уссурийском городском округе Приморского края" на 2021 - 2028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30 075 250,00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"Создание условий для развития услуг широкополосного доступа к информационно-телекоммуникационной сети Интернет в населенных пунктах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3120400000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8 604 750,00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условий для развития услуг широкополосного доступа к информационно-телекоммуникационной сети "Интернет" в населенных пунктах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31204S2740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8 604 750,00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31204S2740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8 604 750,00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доступа населения Уссурийского городского округа Приморского края к официальной информации о деятельности органов местного самоуправления"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19 215 500,00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освещению деятельности органов местного самоуправления в средствах массовой информации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15 715 500,00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15 715 500,00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Производство и приобретение полиграфической, сувенирной и рекламной продукции о жизнедеятельности, создание фото- и видеоконтекта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3140120780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3140120780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Субсидий на реализацию социально значимых проектов выполняемых в сфере средств массовой информации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3140160010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3140160010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"Совершенствование взаимодействия органов местного самоуправления, средств массовой информации, органов территориального общественного самоуправления в информационном пространстве"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с Почетными гражданами, общественными объединениями, органами территориального общественного самоуправления и товариществами собственников жилья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3140220060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3140220060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активности органов территориального общественного самоуправления в информационном пространстве"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с Почетными гражданами, общественными объединениями, органами территориального общественного самоуправления и товариществами собственников жилья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3140320060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3140320060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3140320060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активистов и органов территориального общественного самоуправления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3140380010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3140380010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информационно - коммуникационных технологий администрации Уссурийского городского округа Приморского края " на 2024 - 2030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28 038 520,00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18 038 520,00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25 038 520,00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и обеспечение эксплуатации информационно-коммуникационной инфраструктуры администрации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18 720 520,00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14 768 520,00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20 918 520,00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388 330,00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388 330,00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"Административно - хозяйственное управление"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10 935 428,56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9 240 000,00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10 715 000,00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10 935 428,56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9 240 000,00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10 715 000,00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"Административно - хозяйственное управление"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7 396 761,44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5 078 520,00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9 653 520,00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7 396 761,44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5 078 520,00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9 653 520,00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мероприятий по защите информации, в том числе приобретение средств защиты для нужд администрации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9 318 000,00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4 120 000,00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"Административно - хозяйственное управление"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5 548 000,00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5 548 000,00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"Административно - хозяйственное управление"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муниципальной службы в администрации Уссурийского городского округа Приморского края" на 2023-2027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мероприятий, направленных на рост профессионализма муниципальных служащих"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работы, направленной на минимизацию случаев заболевания муниципальных служащих"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3440310020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3440310020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"Энергоэффективность, развитие газоснабжения в Уссурийском городском округе Приморского края" на 2023 и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1 420 126 562,50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"Чистый воздух"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 комплексных планов по снижению выбросов загрязняющих веществ в атмосферный воздух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351Ч454410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351Ч454410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"Схема теплоснабжения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Актуализация схемы теплоснабжения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3540720760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3540720760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первичных мер пожарной безопасности в границах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пожарной безопасности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Выполнение работ по доставке, монтажу и поддерживанию эксплуатационных свойств резервуаров для хранения воды в сельских населенных пунктах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устройству, обновлению противопожарных минерализованных полос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и обеспечение работоспособности первичных средств пожаротушения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территорий прилегающих к пожарным резервуарам, пирсам, информационным стендам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3740121750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3740121750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информированности населения Уссурийского городского округа Приморского края о мерах пожарной безопасности"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Информирование населения по вопросам пожарной безопасности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3740220170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3740220170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"Содержание и обеспечение добровольной пожарной охраны средствами индивидуальной защиты и снаряжение"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Материальное поощрение членам добровольной пожарной охраны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3740322120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3740322120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"Доступная среда на территории Уссурийского городского округа Приморского края" на 2021- 2028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9 266 840,00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доступности муниципальных учреждений в приоритетных сферах жизнедеятельности для инвалидов и других маломобильных групп населения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9 266 840,00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доступности муниципальных учреждений для инвалидов и других маломобильных групп населения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9 266 840,00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8 436 840,00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сетей уличного освещения Уссурийского городского округа Приморского края" на 2018-2028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79 663 970,00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49 680 000,00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"Освещение автомобильных дорог общего пользования местного значения"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48 880 000,00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Оплата за потребляемую электроэнергию объектов уличного освещения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4840520240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48 880 000,00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4840520240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48 880 000,00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"Техническое обслуживание и ремонт сетей уличного освещения"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32 663 970,00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затрат, связанных техническим обслуживанием и ремонтом объектов уличного освещения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4840660350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32 663 970,00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4840660350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32 663 970,00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"Формирование современной городской среды Уссурийского городского округа Приморского края" на 2018 - 2030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411 178 835,90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204 448 163,69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207 545 388,11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"Формирование комфортной городской среды"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218 275 207,73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64 152 169,58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64 771 244,94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комфортной городской среды в малых городах и исторических поселениях –победителях Всероссийского конкурса лучших проектов создания комфортной городской среды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491И454240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155 416 256,54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491И454240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155 416 256,54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программ формирования современной городской среды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491И455550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62 858 951,19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64 152 169,58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64 771 244,94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491И455550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62 858 951,19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64 152 169,58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64 771 244,94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"Повышение уровня благоустройства дворовых территорий ремонту тротуаров, лестниц придомовых территорий многоквартирных домов и обустройство детских и (или) спортивных площадок на территории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65 401 386,12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140 295 994,11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142 774 143,17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муниципальных программ по благоустройству территорий муниципальных образований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49201S2610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65 401 386,12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140 295 994,11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142 774 143,17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49201S2610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65 401 386,12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140 295 994,11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142 774 143,17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муниципальных программ по благоустройству территорий муниципальных образований,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2 022 723,29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муниципальных программ по благоустройству территорий муниципальных образований,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49211S2610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2 022 723,29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49211S2610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2 022 723,29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общественных территорий"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102 979 518,76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 и оснащение общественных территорий, парков и скверов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4940220810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75 849 277,59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4940220810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75 849 277,59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 (Благоустройство дальневосточных дворов)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49402L505Ш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27 130 241,17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49402L505Ш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27 130 241,17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 и оснащение общественных территорий, парков и скверов, за счет внебюджетных источников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 и оснащение общественных территорий, парков и скверов, за счет внебюджетных источников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4940320810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4940320810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1 948 197 817,84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1 721 767 950,75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1 582 350 755,38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(Приватный двор) , инициируемый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(Приватный двор)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9900194030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9900194030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(На страже правопорядка и безопасности) инициируемый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878 180,00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(На страже правопорядка и безопасности)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9900294030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878 180,00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9900294030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878 180,00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Проект(Счастливые глаза), инициируемый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(Счастливые глаза)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9900394030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9900394030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(Тротуар комфорта) , инициируемый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(Тротуар комфорта)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9900494030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9900494030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(Обустройство сквера "Дружба"), инициируемых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(Обустройство сквера "Дружба")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9900594030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9900594030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(Детская площадка "Не скучай-Ка. 1 этап"), инициируемых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(Детская площадка "Не скучай-Ка. 1 этап")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9900694030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9900694030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Проект(Лужайка мудрости и мечтаний) , инициируемых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(Лужайка мудрости и мечтаний)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9900794030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9900794030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(Островок согласия), инициируемых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9900800000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(Островок согласия)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9900894030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9900894030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(Деревянная мозаика), инициируемый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(Деревянная мозаика)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9900994030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9900994030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(Моя Борисовка. Вода-источник жизни), инициируемый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2 476 254,68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(Моя Борисовка. Вода-источник жизни)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9901094030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2 476 254,68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9901094030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2 476 254,68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(Последний штрих), инициируемый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(Последний штрих)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9901194030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9901194030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(Путь к комфорту. Этап 1), инициируемый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(Путь к комфорту. Этап 1)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9901294030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9901294030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(Народная тропа), инициируемых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999 974,20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(Народная тропа)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9901394030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999 974,20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9901394030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999 974,20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Проект(Воркаут), инициируемых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(Воркаут)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9901494030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9901494030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(Чистое место для добрых встреч), инициируемых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999 580,00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(Чистое место для добрых встреч)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9901594030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999 580,00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9901594030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999 580,00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(Тропа здоровья - маршрут № 2), инициируемых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(Тропа здоровья - маршрут № 2)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9901694030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9901694030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(Экологический парк Загородный), инициируемых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(Экологический парк Загородный)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9901794030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9901794030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Проект(Установление спортивной воркаут-площадки для жителей ТОС "Казачка") , инициируемых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9901800000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(Установление спортивной воркаут-площадки для жителей ТОС "Казачка")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9901894030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9901894030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(Приватный двор), осуществление строительного контроля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9902194030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9902194030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(На страже правопорядка и безопасности), осуществление строительного контроля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9902294030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18 793,05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9902294030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18 793,05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(Счастливые глаза), осуществление строительного контроля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9902394030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9902394030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(Тротуар комфорта), осуществление строительного контроля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9902494030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9902494030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(Обустройство сквера "Дружба"), осуществление строительного контроля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9902594030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9902594030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(Детская площадка "Не скучай-Ка. 1 этап"), осуществление строительного контроля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9902694030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9902694030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(Лужайка мудрости и мечтаний), осуществление строительного контроля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9902794030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9902794030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(Островок согласия), осуществление строительного контроля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9902894030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9902894030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(Деревянная мозаика), осуществление строительного контроля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9902994030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9902994030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(Экологический парк Загородный), осуществление строительного контроля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9903794030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9903794030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(Установление спортивной воркаут-площадки для жителей ТОС "Казачка"), осуществление строительного контроля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9903894030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9903894030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1 925 946 835,91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1 721 767 950,75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1 582 350 755,38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Глава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639 290 177,91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650 679 210,36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649 727 907,25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626 842 658,04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647 554 511,05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647 866 771,21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12 251 647,87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3 124 699,31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1 861 136,04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195 872,00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Депутаты Думы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3 312 508,70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3 312 508,70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Руководитель Контрольно-счетной палаты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5 039 388,63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4 082 908,60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4 246 295,60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5 039 388,63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4 082 908,60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4 246 295,60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Председатель Думы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5 958 542,76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5 958 542,76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Обслуживание муниципального долга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21 060 349,30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Обслуживание муниципального долга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21 060 349,30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204 810 000,00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97 725 499,09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78 384 500,91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края, обеспечение выполнения Вооруженными силами Российской Федерации мероприятий, связанных со специальной военной операцией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6 920 000,00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края, предоставление единовременной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края, мероприятия по приобретению и установке автономных дымовых пожарных извещателей в местах проживания семей с детьми, в том числе многодетных семей, проживающих в деревянных домах, детей участников специальной военной операции, семей с детьми, попавших в трудную жизненную ситуацию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10 582 000,00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10 582 000,00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10 582 000,00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6 608 231,98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3 873 768,02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6 582 000,00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6 582 000,00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администрацией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Думой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1 547 250,00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1 547 250,00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создание целевого резерва материальных ресурсов для предупреждения чрезвычайных ситуаций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создание и содержание запасов материально-технических, продовольственных, медицинских и иных средств в целях гражданской обороны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мобилизационной готовности экономики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 на предупреждение и ликвидацию чрезвычайных ситуаций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835 207,75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9 164 792,25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Зарезервированные иным образом средства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50 173 096,38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173 870 226,72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50 173 096,38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173 870 226,72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жилыми помещениями детей-сирот и детей, оставшихся без попечения родителей, лиц из их числа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9909912250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127 066,69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9909912250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127 066,69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Развитие инициативного бюджетирования в Уссурийском городском округе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9909920150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10 296 964,13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9909920150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10 296 964,13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Взносы в добровольные организации межмуниципального сотрудничества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выборов и референдумов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9909921590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3 035 958,00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Специальные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9909921590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3 035 958,00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("Моя Борисовка. Вода-источник жизни")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52 991,85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52 991,85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("Воркаут")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отлову животных без владельцев, в том числе их транспортировке в приюты для животных, размещению в приютах для животных и содержанию в них животных без владельцев, ранее прошедших процедуру отлова, стерилизации, вакцинации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10 840 500,00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10 840 500,00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здания муниципального казенного учреждения "Архив" Уссурийского городского округа Приморского края, включая проектно-сметную документацию, проектно-изыскательские работы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1 227 635,19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1 227 635,19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("Народная тропа")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21 399,45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21 399,45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("Путь к комфорту. Этап 1")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("Тропа здоровья-маршрут № 2")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("Чистое место для добрых встреч")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21 391,01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21 391,01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("Последний штрих")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12 840,00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12 840,00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9909951200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9909951200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9909959300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18 028 927,00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18 527 870,00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19 054 932,00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9909959300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17 543 927,00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15 527 870,00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16 054 932,00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9909959300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"Административно хозяйственного управления"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185 299 480,00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176 215 990,00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176 215 990,00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114 437 199,84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114 437 199,84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114 437 199,84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69 478 680,16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60 395 190,16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60 395 190,16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1 383 600,00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"Архив"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17 798 960,00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17 602 600,00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17 602 600,00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14 715 645,00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14 715 645,00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14 715 645,00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3 083 073,00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2 886 955,00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2 886 955,00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Уссурийского городского округа Приморского края "Управления по делам гражданской обороны и чрезвычайным ситуациям"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50 755 705,35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47 657 655,35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47 657 655,35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42 417 694,80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39 319 644,80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39 319 644,80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8 181 311,88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8 181 311,88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8 181 311,88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156 698,67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156 698,67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156 698,67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"Служба единого заказчика-застройщика"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231 480 681,65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202 332 720,00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222 332 720,00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182 680 436,93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191 880 251,84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199 555 477,82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18 196 564,54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9 758 514,72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9 748 274,45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30 603 680,18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693 953,44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13 028 967,73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Уссурийского городского округа Приморского края "Межотраслевой центр финансового обеспечения"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147 322 390,00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140 368 150,00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6 939 240,00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"Административно хозяйственного управления"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25 346 000,00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25 346 000,00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"Управления по делам гражданской обороны и чрезвычайным ситуациям"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"Службы единого заказчика застройщика"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118 692,00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118 692,00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лицам, оказывающим услуги по теплоснабжению на территории Уссурийского городского округа Приморского края, на возмещение части затрат на уплату процентов по кредитам, полученным в Российских кредитных организациях в 2025 году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Муниципальные пенсии за выслугу лет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из бюджета Уссурийского городского округа Приморского края на увеличение уставного фонда муниципальным унитарным предприятиям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из бюджета Уссурийского городского округа Приморского края акционерному обществу "Уссурийск-Электросеть" в виде вклада в имущество акционерного общества, не увеличивающего его уставной капитал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и обеспечение деятельности комиссий по делам несовершеннолетних и защите их прав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5 834 126,58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6 056 212,78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6 287 182,19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5 744 126,58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5 966 212,78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6 197 182,19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отдельных государственных полномочий по созданию административных комиссий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2 185 981,42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2 284 700,22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2 387 367,81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2 185 981,42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2 284 700,22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2 387 367,81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государственных полномочий по организации мероприятий при осуществлении деятельности по обращению с животными без владельцев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67 023 386,20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70 328 740,59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71 595 076,11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934 858,68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984 858,68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994 858,68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49 386 455,72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55 589 314,11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56 845 649,63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16 702 071,80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13 754 567,80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13 754 567,80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2 614 596,00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2 713 980,00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2 817 340,00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2 614 596,00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2 713 980,00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2 817 340,00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Регистрация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756,80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818,55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756,80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818,55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государственного полномочия в сфере транспортного обслуживания по муниципальным маршрутам в границах муниципальных образований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государственных полномочий органов опеки и попечительства в отношении несовершеннолетних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20 951 295,00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21 742 067,00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22 564 470,00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20 011 181,00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20 742 067,00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21 564 470,00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939 633,64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480,36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органами местного самоуправления полномочий Российской Федерации на государственную регистрацию актов гражданского состояния за счет средств краевого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2 697 017,00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2 804 858,00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2 917 094,00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2 697 017,00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2 804 858,00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2 917 094,00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597 467,00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665 203,00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695 769,45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597 467,00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665 203,00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695 769,45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2 748 286,61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2 486 905,49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261 381,12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99099R0820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31 260 864,00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61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99099R0820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31 260 864,00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gridSpan w:val="3"/>
            <w:shd w:val="clear" w:color="ffffff" w:fill="ffffff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87" w:type="dxa"/>
            <w:vAlign w:val="bottom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Всего расходов: 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12 850 938 432,30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12 970 259 371,38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13 247 682 735,58</w:t>
            </w:r>
            <w:r/>
            <w:r/>
          </w:p>
        </w:tc>
      </w:tr>
    </w:tbl>
    <w:tbl>
      <w:tblPr>
        <w:tblStyle w:val="816"/>
        <w:tblW w:w="0" w:type="auto"/>
        <w:tblInd w:w="-137" w:type="dxa"/>
        <w:tblLayout w:type="fixed"/>
        <w:tblLook w:val="04A0" w:firstRow="1" w:lastRow="0" w:firstColumn="1" w:lastColumn="0" w:noHBand="0" w:noVBand="1"/>
      </w:tblPr>
      <w:tblGrid>
        <w:gridCol w:w="8787"/>
        <w:gridCol w:w="1984"/>
        <w:gridCol w:w="1843"/>
        <w:gridCol w:w="1843"/>
      </w:tblGrid>
      <w:tr>
        <w:tblPrEx/>
        <w:trPr>
          <w:trHeight w:val="36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87" w:type="dxa"/>
            <w:vAlign w:val="bottom"/>
            <w:vMerge w:val="restart"/>
            <w:textDirection w:val="lrTb"/>
            <w:noWrap w:val="false"/>
          </w:tcPr>
          <w:p>
            <w:pPr>
              <w:pStyle w:val="727"/>
              <w:jc w:val="left"/>
              <w:spacing w:before="0" w:after="20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том числе условно утвержденные расходы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vMerge w:val="restart"/>
            <w:textDirection w:val="lrTb"/>
            <w:noWrap w:val="false"/>
          </w:tcPr>
          <w:p>
            <w:pPr>
              <w:pStyle w:val="727"/>
              <w:contextualSpacing/>
              <w:jc w:val="right"/>
              <w:spacing w:before="0" w:after="0" w:afterAutospacing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230 000 000,00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270 000 000,00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87" w:type="dxa"/>
            <w:vAlign w:val="bottom"/>
            <w:vMerge w:val="restart"/>
            <w:textDirection w:val="lrTb"/>
            <w:noWrap w:val="false"/>
          </w:tcPr>
          <w:p>
            <w:pPr>
              <w:pStyle w:val="727"/>
              <w:contextualSpacing/>
              <w:jc w:val="left"/>
              <w:spacing w:before="0" w:after="200" w:line="240" w:lineRule="auto"/>
              <w:widowControl w:val="off"/>
              <w:rPr>
                <w:rFonts w:ascii="Times New Roman" w:hAnsi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Итого расходов</w:t>
            </w:r>
            <w:r>
              <w:rPr>
                <w:rFonts w:ascii="Times New Roman" w:hAnsi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u w:val="none"/>
              </w:rPr>
              <w:t xml:space="preserve">12 850 938 432,30</w:t>
            </w:r>
            <w:r>
              <w:rPr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u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13 200 259 371,38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13 517 682 735,58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</w:tbl>
    <w:p>
      <w:pPr>
        <w:pStyle w:val="727"/>
        <w:jc w:val="left"/>
        <w:spacing w:before="0" w:after="200" w:line="276" w:lineRule="auto"/>
        <w:widowControl/>
      </w:pPr>
      <w:r/>
      <w:r/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w="16901" w:h="11950" w:orient="landscape"/>
      <w:pgMar w:top="1134" w:right="850" w:bottom="1134" w:left="1701" w:header="720" w:footer="720" w:gutter="0"/>
      <w:pgNumType w:start="1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Noto Sans">
    <w:panose1 w:val="020B0502040504020204"/>
  </w:font>
  <w:font w:name="Liberation Sans">
    <w:panose1 w:val="020B06040202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7"/>
      <w:spacing w:before="0" w:after="0" w:line="240" w:lineRule="auto"/>
      <w:widowControl w:val="off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</w:r>
    <w:r>
      <w:rPr>
        <w:rFonts w:ascii="Arial" w:hAnsi="Arial" w:cs="Arial"/>
        <w:sz w:val="24"/>
        <w:szCs w:val="24"/>
      </w:rPr>
    </w:r>
    <w:r>
      <w:rPr>
        <w:rFonts w:ascii="Arial" w:hAnsi="Arial" w:cs="Arial"/>
        <w:sz w:val="24"/>
        <w:szCs w:val="24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4"/>
      <w:spacing w:before="0" w:after="20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4"/>
      <w:spacing w:before="0" w:after="20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3"/>
      <w:jc w:val="center"/>
      <w:rPr>
        <w:highlight w:val="none"/>
      </w:rPr>
    </w:pPr>
    <w:fldSimple w:instr="PAGE \* MERGEFORMAT">
      <w:r>
        <w:t xml:space="preserve">2</w:t>
      </w:r>
    </w:fldSimple>
    <w:r/>
    <w:r>
      <w:rPr>
        <w:highlight w:val="none"/>
      </w:rPr>
    </w:r>
    <w:r>
      <w:rPr>
        <w:highlight w:val="none"/>
      </w:rPr>
    </w:r>
  </w:p>
  <w:p>
    <w:pPr>
      <w:pStyle w:val="783"/>
      <w:jc w:val="left"/>
    </w:pPr>
    <w:r>
      <w:rPr>
        <w:highlight w:val="none"/>
      </w:rPr>
    </w:r>
    <w:r>
      <w:rPr>
        <w:highlight w:val="none"/>
      </w:rPr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3"/>
      <w:spacing w:before="0" w:after="20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3"/>
      <w:spacing w:before="0" w:after="200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numbering" w:styleId="726">
    <w:name w:val="No List"/>
    <w:uiPriority w:val="99"/>
    <w:semiHidden/>
    <w:unhideWhenUsed/>
  </w:style>
  <w:style w:type="paragraph" w:styleId="727" w:default="1">
    <w:name w:val="Normal"/>
    <w:qFormat/>
    <w:pPr>
      <w:jc w:val="left"/>
      <w:spacing w:before="0" w:after="200" w:line="276" w:lineRule="auto"/>
      <w:widowControl/>
    </w:pPr>
    <w:rPr>
      <w:rFonts w:ascii="Calibri" w:hAnsi="Calibri" w:eastAsia="Times New Roman" w:cs="Times New Roman"/>
      <w:color w:val="auto"/>
      <w:sz w:val="22"/>
      <w:szCs w:val="22"/>
      <w:lang w:val="ru-RU" w:eastAsia="ru-RU" w:bidi="ar-SA"/>
    </w:rPr>
  </w:style>
  <w:style w:type="paragraph" w:styleId="728">
    <w:name w:val="Heading 1"/>
    <w:basedOn w:val="72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29">
    <w:name w:val="Heading 2"/>
    <w:basedOn w:val="72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30">
    <w:name w:val="Heading 3"/>
    <w:basedOn w:val="72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31">
    <w:name w:val="Heading 4"/>
    <w:basedOn w:val="72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32">
    <w:name w:val="Heading 5"/>
    <w:basedOn w:val="72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33">
    <w:name w:val="Heading 6"/>
    <w:basedOn w:val="72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34">
    <w:name w:val="Heading 7"/>
    <w:basedOn w:val="72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35">
    <w:name w:val="Heading 8"/>
    <w:basedOn w:val="7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36">
    <w:name w:val="Heading 9"/>
    <w:basedOn w:val="72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7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738">
    <w:name w:val="Heading 2 Char"/>
    <w:uiPriority w:val="9"/>
    <w:qFormat/>
    <w:rPr>
      <w:rFonts w:ascii="Arial" w:hAnsi="Arial" w:eastAsia="Arial" w:cs="Arial"/>
      <w:sz w:val="34"/>
    </w:rPr>
  </w:style>
  <w:style w:type="character" w:styleId="739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740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4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42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43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44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45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46">
    <w:name w:val="Title Char"/>
    <w:uiPriority w:val="10"/>
    <w:qFormat/>
    <w:rPr>
      <w:sz w:val="48"/>
      <w:szCs w:val="48"/>
    </w:rPr>
  </w:style>
  <w:style w:type="character" w:styleId="747">
    <w:name w:val="Subtitle Char"/>
    <w:uiPriority w:val="11"/>
    <w:qFormat/>
    <w:rPr>
      <w:sz w:val="24"/>
      <w:szCs w:val="24"/>
    </w:rPr>
  </w:style>
  <w:style w:type="character" w:styleId="748">
    <w:name w:val="Quote Char"/>
    <w:uiPriority w:val="29"/>
    <w:qFormat/>
    <w:rPr>
      <w:i/>
    </w:rPr>
  </w:style>
  <w:style w:type="character" w:styleId="749">
    <w:name w:val="Intense Quote Char"/>
    <w:uiPriority w:val="30"/>
    <w:qFormat/>
    <w:rPr>
      <w:i/>
    </w:rPr>
  </w:style>
  <w:style w:type="character" w:styleId="750">
    <w:name w:val="Header Char"/>
    <w:uiPriority w:val="99"/>
    <w:qFormat/>
  </w:style>
  <w:style w:type="character" w:styleId="751">
    <w:name w:val="Footer Char"/>
    <w:uiPriority w:val="99"/>
    <w:qFormat/>
  </w:style>
  <w:style w:type="character" w:styleId="752">
    <w:name w:val="Caption Char"/>
    <w:uiPriority w:val="99"/>
    <w:qFormat/>
  </w:style>
  <w:style w:type="character" w:styleId="753">
    <w:name w:val="Hyperlink"/>
    <w:uiPriority w:val="99"/>
    <w:unhideWhenUsed/>
    <w:rPr>
      <w:color w:val="0000ff" w:themeColor="hyperlink"/>
      <w:u w:val="single"/>
    </w:rPr>
  </w:style>
  <w:style w:type="character" w:styleId="754">
    <w:name w:val="Footnote Text Char"/>
    <w:uiPriority w:val="99"/>
    <w:qFormat/>
    <w:rPr>
      <w:sz w:val="18"/>
    </w:rPr>
  </w:style>
  <w:style w:type="character" w:styleId="755">
    <w:name w:val="Символ сноски"/>
    <w:qFormat/>
    <w:rPr>
      <w:vertAlign w:val="superscript"/>
    </w:rPr>
  </w:style>
  <w:style w:type="character" w:styleId="756">
    <w:name w:val="footnote reference"/>
    <w:rPr>
      <w:vertAlign w:val="superscript"/>
    </w:rPr>
  </w:style>
  <w:style w:type="character" w:styleId="757">
    <w:name w:val="Footnote Characters"/>
    <w:uiPriority w:val="99"/>
    <w:unhideWhenUsed/>
    <w:qFormat/>
    <w:rPr>
      <w:vertAlign w:val="superscript"/>
    </w:rPr>
  </w:style>
  <w:style w:type="character" w:styleId="758">
    <w:name w:val="Endnote Text Char"/>
    <w:uiPriority w:val="99"/>
    <w:qFormat/>
    <w:rPr>
      <w:sz w:val="20"/>
    </w:rPr>
  </w:style>
  <w:style w:type="character" w:styleId="759">
    <w:name w:val="Символ концевой сноски"/>
    <w:qFormat/>
    <w:rPr>
      <w:vertAlign w:val="superscript"/>
    </w:rPr>
  </w:style>
  <w:style w:type="character" w:styleId="760">
    <w:name w:val="endnote reference"/>
    <w:rPr>
      <w:vertAlign w:val="superscript"/>
    </w:rPr>
  </w:style>
  <w:style w:type="character" w:styleId="761">
    <w:name w:val="Endnote Characters"/>
    <w:uiPriority w:val="99"/>
    <w:semiHidden/>
    <w:unhideWhenUsed/>
    <w:qFormat/>
    <w:rPr>
      <w:vertAlign w:val="superscript"/>
    </w:rPr>
  </w:style>
  <w:style w:type="character" w:styleId="762">
    <w:name w:val="Основной шрифт абзаца"/>
    <w:uiPriority w:val="1"/>
    <w:semiHidden/>
    <w:unhideWhenUsed/>
    <w:qFormat/>
  </w:style>
  <w:style w:type="character" w:styleId="763">
    <w:name w:val="Верхний колонтитул Знак"/>
    <w:basedOn w:val="762"/>
    <w:uiPriority w:val="99"/>
    <w:qFormat/>
  </w:style>
  <w:style w:type="character" w:styleId="764">
    <w:name w:val="Нижний колонтитул Знак"/>
    <w:basedOn w:val="762"/>
    <w:uiPriority w:val="99"/>
    <w:semiHidden/>
    <w:qFormat/>
  </w:style>
  <w:style w:type="character" w:styleId="765">
    <w:name w:val="Гиперссылка"/>
    <w:uiPriority w:val="99"/>
    <w:semiHidden/>
    <w:unhideWhenUsed/>
    <w:qFormat/>
    <w:rPr>
      <w:color w:val="0000ff"/>
      <w:u w:val="single"/>
    </w:rPr>
  </w:style>
  <w:style w:type="character" w:styleId="766">
    <w:name w:val="Просмотренная гиперссылка"/>
    <w:uiPriority w:val="99"/>
    <w:semiHidden/>
    <w:unhideWhenUsed/>
    <w:qFormat/>
    <w:rPr>
      <w:color w:val="800080"/>
      <w:u w:val="single"/>
    </w:rPr>
  </w:style>
  <w:style w:type="character" w:styleId="767" w:default="1">
    <w:name w:val="Default Paragraph Font"/>
    <w:uiPriority w:val="1"/>
    <w:semiHidden/>
    <w:unhideWhenUsed/>
    <w:qFormat/>
  </w:style>
  <w:style w:type="paragraph" w:styleId="768">
    <w:name w:val="Заголовок"/>
    <w:basedOn w:val="727"/>
    <w:next w:val="769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769">
    <w:name w:val="Body Text"/>
    <w:basedOn w:val="727"/>
    <w:pPr>
      <w:spacing w:before="0" w:after="140" w:line="276" w:lineRule="auto"/>
    </w:pPr>
  </w:style>
  <w:style w:type="paragraph" w:styleId="770">
    <w:name w:val="List"/>
    <w:basedOn w:val="769"/>
    <w:rPr>
      <w:rFonts w:cs="Noto Sans"/>
    </w:rPr>
  </w:style>
  <w:style w:type="paragraph" w:styleId="771">
    <w:name w:val="Caption"/>
    <w:basedOn w:val="727"/>
    <w:link w:val="75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72">
    <w:name w:val="Указатель"/>
    <w:basedOn w:val="727"/>
    <w:qFormat/>
    <w:pPr>
      <w:suppressLineNumbers/>
    </w:pPr>
    <w:rPr>
      <w:rFonts w:cs="Noto Sans"/>
    </w:rPr>
  </w:style>
  <w:style w:type="paragraph" w:styleId="773">
    <w:name w:val="Заголовок (user)"/>
    <w:basedOn w:val="727"/>
    <w:next w:val="769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774">
    <w:name w:val="Указатель (user)"/>
    <w:basedOn w:val="727"/>
    <w:qFormat/>
    <w:pPr>
      <w:suppressLineNumbers/>
    </w:pPr>
    <w:rPr>
      <w:rFonts w:cs="Noto Sans"/>
    </w:rPr>
  </w:style>
  <w:style w:type="paragraph" w:styleId="775">
    <w:name w:val="List Paragraph"/>
    <w:basedOn w:val="727"/>
    <w:uiPriority w:val="34"/>
    <w:qFormat/>
    <w:pPr>
      <w:contextualSpacing/>
      <w:ind w:left="720" w:firstLine="0"/>
      <w:spacing w:before="0" w:after="0"/>
    </w:pPr>
  </w:style>
  <w:style w:type="paragraph" w:styleId="776">
    <w:name w:val="No Spacing"/>
    <w:uiPriority w:val="1"/>
    <w:qFormat/>
    <w:pPr>
      <w:jc w:val="left"/>
      <w:spacing w:before="0" w:after="0" w:line="240" w:lineRule="auto"/>
      <w:widowControl/>
    </w:pPr>
    <w:rPr>
      <w:rFonts w:ascii="Calibri" w:hAnsi="Calibri" w:eastAsia="Times New Roman" w:cs="Times New Roman"/>
      <w:color w:val="auto"/>
      <w:sz w:val="20"/>
      <w:szCs w:val="20"/>
      <w:lang w:val="ru-RU" w:eastAsia="zh-CN" w:bidi="ar-SA"/>
    </w:rPr>
  </w:style>
  <w:style w:type="paragraph" w:styleId="777">
    <w:name w:val="Title"/>
    <w:basedOn w:val="727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78">
    <w:name w:val="Subtitle"/>
    <w:basedOn w:val="727"/>
    <w:uiPriority w:val="11"/>
    <w:qFormat/>
    <w:pPr>
      <w:spacing w:before="200" w:after="200"/>
    </w:pPr>
    <w:rPr>
      <w:sz w:val="24"/>
      <w:szCs w:val="24"/>
    </w:rPr>
  </w:style>
  <w:style w:type="paragraph" w:styleId="779">
    <w:name w:val="Quote"/>
    <w:basedOn w:val="727"/>
    <w:uiPriority w:val="29"/>
    <w:qFormat/>
    <w:pPr>
      <w:ind w:left="720" w:right="720" w:firstLine="0"/>
    </w:pPr>
    <w:rPr>
      <w:i/>
    </w:rPr>
  </w:style>
  <w:style w:type="paragraph" w:styleId="780">
    <w:name w:val="Intense Quote"/>
    <w:basedOn w:val="727"/>
    <w:uiPriority w:val="30"/>
    <w:qFormat/>
    <w:pPr>
      <w:ind w:left="720" w:right="720" w:firstLine="0"/>
      <w:spacing w:before="0"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81">
    <w:name w:val="Колонтитул"/>
    <w:basedOn w:val="727"/>
    <w:qFormat/>
  </w:style>
  <w:style w:type="paragraph" w:styleId="782">
    <w:name w:val="Header and Footer"/>
    <w:basedOn w:val="727"/>
    <w:qFormat/>
  </w:style>
  <w:style w:type="paragraph" w:styleId="783">
    <w:name w:val="Header"/>
    <w:basedOn w:val="727"/>
    <w:uiPriority w:val="99"/>
    <w:unhideWhenUsed/>
    <w:pPr>
      <w:tabs>
        <w:tab w:val="clear" w:pos="720" w:leader="none"/>
        <w:tab w:val="center" w:pos="4677" w:leader="none"/>
        <w:tab w:val="right" w:pos="9355" w:leader="none"/>
      </w:tabs>
    </w:pPr>
  </w:style>
  <w:style w:type="paragraph" w:styleId="784">
    <w:name w:val="Footer"/>
    <w:basedOn w:val="727"/>
    <w:uiPriority w:val="99"/>
    <w:semiHidden/>
    <w:unhideWhenUsed/>
    <w:pPr>
      <w:tabs>
        <w:tab w:val="clear" w:pos="720" w:leader="none"/>
        <w:tab w:val="center" w:pos="4677" w:leader="none"/>
        <w:tab w:val="right" w:pos="9355" w:leader="none"/>
      </w:tabs>
    </w:pPr>
  </w:style>
  <w:style w:type="paragraph" w:styleId="785">
    <w:name w:val="footnote text"/>
    <w:basedOn w:val="727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786">
    <w:name w:val="endnote text"/>
    <w:basedOn w:val="727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787">
    <w:name w:val="toc 1"/>
    <w:basedOn w:val="727"/>
    <w:uiPriority w:val="39"/>
    <w:unhideWhenUsed/>
    <w:pPr>
      <w:ind w:left="0" w:right="0" w:firstLine="0"/>
      <w:spacing w:before="0" w:after="57"/>
    </w:pPr>
  </w:style>
  <w:style w:type="paragraph" w:styleId="788">
    <w:name w:val="toc 2"/>
    <w:basedOn w:val="727"/>
    <w:uiPriority w:val="39"/>
    <w:unhideWhenUsed/>
    <w:pPr>
      <w:ind w:left="283" w:right="0" w:firstLine="0"/>
      <w:spacing w:before="0" w:after="57"/>
    </w:pPr>
  </w:style>
  <w:style w:type="paragraph" w:styleId="789">
    <w:name w:val="toc 3"/>
    <w:basedOn w:val="727"/>
    <w:uiPriority w:val="39"/>
    <w:unhideWhenUsed/>
    <w:pPr>
      <w:ind w:left="567" w:right="0" w:firstLine="0"/>
      <w:spacing w:before="0" w:after="57"/>
    </w:pPr>
  </w:style>
  <w:style w:type="paragraph" w:styleId="790">
    <w:name w:val="toc 4"/>
    <w:basedOn w:val="727"/>
    <w:uiPriority w:val="39"/>
    <w:unhideWhenUsed/>
    <w:pPr>
      <w:ind w:left="850" w:right="0" w:firstLine="0"/>
      <w:spacing w:before="0" w:after="57"/>
    </w:pPr>
  </w:style>
  <w:style w:type="paragraph" w:styleId="791">
    <w:name w:val="toc 5"/>
    <w:basedOn w:val="727"/>
    <w:uiPriority w:val="39"/>
    <w:unhideWhenUsed/>
    <w:pPr>
      <w:ind w:left="1134" w:right="0" w:firstLine="0"/>
      <w:spacing w:before="0" w:after="57"/>
    </w:pPr>
  </w:style>
  <w:style w:type="paragraph" w:styleId="792">
    <w:name w:val="toc 6"/>
    <w:basedOn w:val="727"/>
    <w:uiPriority w:val="39"/>
    <w:unhideWhenUsed/>
    <w:pPr>
      <w:ind w:left="1417" w:right="0" w:firstLine="0"/>
      <w:spacing w:before="0" w:after="57"/>
    </w:pPr>
  </w:style>
  <w:style w:type="paragraph" w:styleId="793">
    <w:name w:val="toc 7"/>
    <w:basedOn w:val="727"/>
    <w:uiPriority w:val="39"/>
    <w:unhideWhenUsed/>
    <w:pPr>
      <w:ind w:left="1701" w:right="0" w:firstLine="0"/>
      <w:spacing w:before="0" w:after="57"/>
    </w:pPr>
  </w:style>
  <w:style w:type="paragraph" w:styleId="794">
    <w:name w:val="toc 8"/>
    <w:basedOn w:val="727"/>
    <w:uiPriority w:val="39"/>
    <w:unhideWhenUsed/>
    <w:pPr>
      <w:ind w:left="1984" w:right="0" w:firstLine="0"/>
      <w:spacing w:before="0" w:after="57"/>
    </w:pPr>
  </w:style>
  <w:style w:type="paragraph" w:styleId="795">
    <w:name w:val="toc 9"/>
    <w:basedOn w:val="727"/>
    <w:uiPriority w:val="39"/>
    <w:unhideWhenUsed/>
    <w:pPr>
      <w:ind w:left="2268" w:right="0" w:firstLine="0"/>
      <w:spacing w:before="0" w:after="57"/>
    </w:pPr>
  </w:style>
  <w:style w:type="paragraph" w:styleId="796">
    <w:name w:val="index heading"/>
    <w:basedOn w:val="773"/>
  </w:style>
  <w:style w:type="paragraph" w:styleId="797">
    <w:name w:val="TOC Heading"/>
    <w:uiPriority w:val="39"/>
    <w:unhideWhenUsed/>
    <w:qFormat/>
    <w:pPr>
      <w:jc w:val="left"/>
      <w:spacing w:before="0" w:after="0"/>
      <w:widowControl/>
    </w:pPr>
    <w:rPr>
      <w:rFonts w:ascii="Calibri" w:hAnsi="Calibri" w:eastAsia="Times New Roman" w:cs="Times New Roman"/>
      <w:color w:val="auto"/>
      <w:sz w:val="20"/>
      <w:szCs w:val="20"/>
      <w:lang w:val="ru-RU" w:eastAsia="zh-CN" w:bidi="ar-SA"/>
    </w:rPr>
  </w:style>
  <w:style w:type="paragraph" w:styleId="798">
    <w:name w:val="table of figures"/>
    <w:basedOn w:val="727"/>
    <w:uiPriority w:val="99"/>
    <w:unhideWhenUsed/>
    <w:qFormat/>
    <w:pPr>
      <w:spacing w:before="0" w:after="0" w:afterAutospacing="0"/>
    </w:pPr>
  </w:style>
  <w:style w:type="paragraph" w:styleId="799">
    <w:name w:val="xl87"/>
    <w:basedOn w:val="727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800">
    <w:name w:val="xl88"/>
    <w:basedOn w:val="727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color w:val="000000"/>
      <w:sz w:val="20"/>
      <w:szCs w:val="20"/>
    </w:rPr>
  </w:style>
  <w:style w:type="paragraph" w:styleId="801">
    <w:name w:val="xl89"/>
    <w:basedOn w:val="727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color w:val="000000"/>
      <w:sz w:val="20"/>
      <w:szCs w:val="20"/>
    </w:rPr>
  </w:style>
  <w:style w:type="paragraph" w:styleId="802">
    <w:name w:val="xl90"/>
    <w:basedOn w:val="727"/>
    <w:qFormat/>
    <w:pPr>
      <w:jc w:val="right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color w:val="000000"/>
      <w:sz w:val="20"/>
      <w:szCs w:val="20"/>
    </w:rPr>
  </w:style>
  <w:style w:type="paragraph" w:styleId="803">
    <w:name w:val="xl91"/>
    <w:basedOn w:val="727"/>
    <w:qFormat/>
    <w:pPr>
      <w:jc w:val="right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color w:val="000000"/>
      <w:sz w:val="20"/>
      <w:szCs w:val="20"/>
    </w:rPr>
  </w:style>
  <w:style w:type="paragraph" w:styleId="804">
    <w:name w:val="xl92"/>
    <w:basedOn w:val="727"/>
    <w:qFormat/>
    <w:pPr>
      <w:jc w:val="right"/>
      <w:spacing w:beforeAutospacing="1" w:afterAutospacing="1" w:line="240" w:lineRule="auto"/>
      <w:pBdr>
        <w:top w:val="single" w:color="000000" w:sz="4" w:space="0"/>
      </w:pBdr>
    </w:pPr>
    <w:rPr>
      <w:rFonts w:ascii="Times New Roman" w:hAnsi="Times New Roman"/>
      <w:color w:val="000000"/>
      <w:sz w:val="20"/>
      <w:szCs w:val="20"/>
    </w:rPr>
  </w:style>
  <w:style w:type="paragraph" w:styleId="805">
    <w:name w:val="xl93"/>
    <w:basedOn w:val="727"/>
    <w:qFormat/>
    <w:pPr>
      <w:jc w:val="right"/>
      <w:spacing w:beforeAutospacing="1" w:afterAutospacing="1" w:line="240" w:lineRule="auto"/>
      <w:pBdr>
        <w:top w:val="single" w:color="000000" w:sz="4" w:space="0"/>
      </w:pBdr>
    </w:pPr>
    <w:rPr>
      <w:rFonts w:ascii="Times New Roman" w:hAnsi="Times New Roman"/>
      <w:color w:val="000000"/>
      <w:sz w:val="20"/>
      <w:szCs w:val="20"/>
    </w:rPr>
  </w:style>
  <w:style w:type="paragraph" w:styleId="806">
    <w:name w:val="xl94"/>
    <w:basedOn w:val="727"/>
    <w:qFormat/>
    <w:pPr>
      <w:jc w:val="right"/>
      <w:spacing w:beforeAutospacing="1" w:afterAutospacing="1" w:line="240" w:lineRule="auto"/>
      <w:pBdr>
        <w:top w:val="single" w:color="000000" w:sz="4" w:space="0"/>
      </w:pBdr>
    </w:pPr>
    <w:rPr>
      <w:rFonts w:ascii="Times New Roman" w:hAnsi="Times New Roman"/>
      <w:color w:val="000000"/>
      <w:sz w:val="20"/>
      <w:szCs w:val="20"/>
    </w:rPr>
  </w:style>
  <w:style w:type="paragraph" w:styleId="807">
    <w:name w:val="xl86"/>
    <w:basedOn w:val="727"/>
    <w:qFormat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808">
    <w:name w:val="xl95"/>
    <w:basedOn w:val="727"/>
    <w:qFormat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809">
    <w:name w:val="xl96"/>
    <w:basedOn w:val="727"/>
    <w:qFormat/>
    <w:pPr>
      <w:jc w:val="right"/>
      <w:spacing w:beforeAutospacing="1" w:afterAutospacing="1" w:line="240" w:lineRule="auto"/>
      <w:pBdr>
        <w:top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810">
    <w:name w:val="xl97"/>
    <w:basedOn w:val="727"/>
    <w:qFormat/>
    <w:pPr>
      <w:jc w:val="right"/>
      <w:spacing w:beforeAutospacing="1" w:afterAutospacing="1" w:line="240" w:lineRule="auto"/>
      <w:pBdr>
        <w:top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811">
    <w:name w:val="xl98"/>
    <w:basedOn w:val="727"/>
    <w:qFormat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812">
    <w:name w:val="Содержимое таблицы (user)"/>
    <w:basedOn w:val="727"/>
    <w:qFormat/>
    <w:pPr>
      <w:widowControl w:val="off"/>
      <w:suppressLineNumbers/>
    </w:pPr>
  </w:style>
  <w:style w:type="paragraph" w:styleId="813">
    <w:name w:val="Заголовок таблицы (user)"/>
    <w:basedOn w:val="812"/>
    <w:qFormat/>
    <w:pPr>
      <w:jc w:val="center"/>
      <w:suppressLineNumbers/>
    </w:pPr>
    <w:rPr>
      <w:b/>
      <w:bCs/>
    </w:rPr>
  </w:style>
  <w:style w:type="numbering" w:styleId="814">
    <w:name w:val="Нет списка"/>
    <w:uiPriority w:val="99"/>
    <w:semiHidden/>
    <w:unhideWhenUsed/>
    <w:qFormat/>
  </w:style>
  <w:style w:type="numbering" w:styleId="815" w:default="1">
    <w:name w:val="Без списка"/>
    <w:uiPriority w:val="99"/>
    <w:semiHidden/>
    <w:unhideWhenUsed/>
    <w:qFormat/>
  </w:style>
  <w:style w:type="table" w:styleId="816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7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8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819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820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821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822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3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0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845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ce6f1" w:themeFill="accent1" w:themeFillTint="32"/>
      </w:tcPr>
    </w:tblStylePr>
    <w:tblStylePr w:type="band1Vert">
      <w:rPr>
        <w:sz w:val="22"/>
      </w:rPr>
      <w:tcPr>
        <w:shd w:val="clear" w:color="ffffff" w:fill="dce6f1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5d8dc2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</w:tcBorders>
      </w:tcPr>
    </w:tblStylePr>
  </w:style>
  <w:style w:type="table" w:styleId="846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d99694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</w:tcBorders>
      </w:tcPr>
    </w:tblStylePr>
  </w:style>
  <w:style w:type="table" w:styleId="847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bba59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</w:tcBorders>
      </w:tcPr>
    </w:tblStylePr>
  </w:style>
  <w:style w:type="table" w:styleId="848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b2a1c6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</w:tcBorders>
      </w:tcPr>
    </w:tblStylePr>
  </w:style>
  <w:style w:type="table" w:styleId="849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</w:tcBorders>
      </w:tcPr>
    </w:tblStylePr>
  </w:style>
  <w:style w:type="table" w:styleId="850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</w:tcBorders>
      </w:tcPr>
    </w:tblStylePr>
  </w:style>
  <w:style w:type="table" w:styleId="851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sz w:val="22"/>
      </w:rPr>
      <w:tcPr>
        <w:shd w:val="clear" w:color="ffffff" w:fill="000000" w:themeFill="text1"/>
      </w:tc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  <w:sz w:val="22"/>
      </w:r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</w:style>
  <w:style w:type="table" w:styleId="85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dc5e0" w:themeFill="accent1" w:themeFillTint="75"/>
      </w:tcPr>
    </w:tblStylePr>
    <w:tblStylePr w:type="band1Vert">
      <w:tcPr>
        <w:shd w:val="clear" w:color="ffffff" w:fill="adc5e0" w:themeFill="accent1" w:themeFillTint="75"/>
      </w:tcPr>
    </w:tblStylePr>
    <w:tblStylePr w:type="firstCol">
      <w:rPr>
        <w:b/>
        <w:sz w:val="22"/>
      </w:rPr>
      <w:tcPr>
        <w:shd w:val="clear" w:color="ffffff" w:fill="4f81bd" w:themeFill="accent1"/>
      </w:tc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  <w:sz w:val="22"/>
      </w:rPr>
      <w:tcPr>
        <w:shd w:val="clear" w:color="ffffff" w:fill="4f81bd" w:themeFill="accent1"/>
      </w:tcPr>
    </w:tblStylePr>
    <w:tblStylePr w:type="lastRow">
      <w:rPr>
        <w:b/>
        <w:sz w:val="22"/>
      </w:rPr>
      <w:tcPr>
        <w:shd w:val="clear" w:color="ffffff" w:fill="4f81bd" w:themeFill="accent1"/>
        <w:tcBorders>
          <w:top w:val="single" w:color="000000" w:themeColor="light1" w:sz="4" w:space="0"/>
        </w:tcBorders>
      </w:tcPr>
    </w:tblStylePr>
  </w:style>
  <w:style w:type="table" w:styleId="85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e1adac" w:themeFill="accent2" w:themeFillTint="75"/>
      </w:tcPr>
    </w:tblStylePr>
    <w:tblStylePr w:type="band1Vert">
      <w:tcPr>
        <w:shd w:val="clear" w:color="ffffff" w:fill="e1adac" w:themeFill="accent2" w:themeFillTint="75"/>
      </w:tcPr>
    </w:tblStylePr>
    <w:tblStylePr w:type="firstCol">
      <w:rPr>
        <w:b/>
        <w:sz w:val="22"/>
      </w:rPr>
      <w:tcPr>
        <w:shd w:val="clear" w:color="ffffff" w:fill="c0504d" w:themeFill="accent2"/>
      </w:tc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  <w:sz w:val="22"/>
      </w:rPr>
      <w:tcPr>
        <w:shd w:val="clear" w:color="ffffff" w:fill="c0504d" w:themeFill="accent2"/>
      </w:tcPr>
    </w:tblStylePr>
    <w:tblStylePr w:type="lastRow">
      <w:rPr>
        <w:b/>
        <w:sz w:val="22"/>
      </w:rPr>
      <w:tcPr>
        <w:shd w:val="clear" w:color="ffffff" w:fill="c0504d" w:themeFill="accent2"/>
        <w:tcBorders>
          <w:top w:val="single" w:color="000000" w:themeColor="light1" w:sz="4" w:space="0"/>
        </w:tcBorders>
      </w:tcPr>
    </w:tblStylePr>
  </w:style>
  <w:style w:type="table" w:styleId="85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1dfb2" w:themeFill="accent3" w:themeFillTint="75"/>
      </w:tcPr>
    </w:tblStylePr>
    <w:tblStylePr w:type="band1Vert">
      <w:tcPr>
        <w:shd w:val="clear" w:color="ffffff" w:fill="d1dfb2" w:themeFill="accent3" w:themeFillTint="75"/>
      </w:tcPr>
    </w:tblStylePr>
    <w:tblStylePr w:type="firstCol">
      <w:rPr>
        <w:b/>
        <w:sz w:val="22"/>
      </w:rPr>
      <w:tcPr>
        <w:shd w:val="clear" w:color="ffffff" w:fill="9bbb59" w:themeFill="accent3"/>
      </w:tc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  <w:sz w:val="22"/>
      </w:rPr>
      <w:tcPr>
        <w:shd w:val="clear" w:color="ffffff" w:fill="9bbb59" w:themeFill="accent3"/>
      </w:tcPr>
    </w:tblStylePr>
    <w:tblStylePr w:type="lastRow">
      <w:rPr>
        <w:b/>
        <w:sz w:val="22"/>
      </w:rPr>
      <w:tcPr>
        <w:shd w:val="clear" w:color="ffffff" w:fill="9bbb59" w:themeFill="accent3"/>
        <w:tcBorders>
          <w:top w:val="single" w:color="000000" w:themeColor="light1" w:sz="4" w:space="0"/>
        </w:tcBorders>
      </w:tcPr>
    </w:tblStylePr>
  </w:style>
  <w:style w:type="table" w:styleId="85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c4b7d4" w:themeFill="accent4" w:themeFillTint="75"/>
      </w:tcPr>
    </w:tblStylePr>
    <w:tblStylePr w:type="band1Vert">
      <w:tcPr>
        <w:shd w:val="clear" w:color="ffffff" w:fill="c4b7d4" w:themeFill="accent4" w:themeFillTint="75"/>
      </w:tcPr>
    </w:tblStylePr>
    <w:tblStylePr w:type="firstCol">
      <w:rPr>
        <w:b/>
        <w:sz w:val="22"/>
      </w:rPr>
      <w:tcPr>
        <w:shd w:val="clear" w:color="ffffff" w:fill="8064a2" w:themeFill="accent4"/>
      </w:tc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  <w:sz w:val="22"/>
      </w:rPr>
      <w:tcPr>
        <w:shd w:val="clear" w:color="ffffff" w:fill="8064a2" w:themeFill="accent4"/>
      </w:tcPr>
    </w:tblStylePr>
    <w:tblStylePr w:type="lastRow">
      <w:rPr>
        <w:b/>
        <w:sz w:val="22"/>
      </w:rPr>
      <w:tcPr>
        <w:shd w:val="clear" w:color="ffffff" w:fill="8064a2" w:themeFill="accent4"/>
        <w:tcBorders>
          <w:top w:val="single" w:color="000000" w:themeColor="light1" w:sz="4" w:space="0"/>
        </w:tcBorders>
      </w:tcPr>
    </w:tblStylePr>
  </w:style>
  <w:style w:type="table" w:styleId="85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bd9e4" w:themeFill="accent5" w:themeFillTint="75"/>
      </w:tcPr>
    </w:tblStylePr>
    <w:tblStylePr w:type="band1Vert">
      <w:tcPr>
        <w:shd w:val="clear" w:color="ffffff" w:fill="abd9e4" w:themeFill="accent5" w:themeFillTint="75"/>
      </w:tcPr>
    </w:tblStylePr>
    <w:tblStylePr w:type="firstCol">
      <w:rPr>
        <w:b/>
        <w:sz w:val="22"/>
      </w:rPr>
      <w:tcPr>
        <w:shd w:val="clear" w:color="ffffff" w:fill="4bacc6" w:themeFill="accent5"/>
      </w:tc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  <w:sz w:val="22"/>
      </w:rPr>
      <w:tcPr>
        <w:shd w:val="clear" w:color="ffffff" w:fill="4bacc6" w:themeFill="accent5"/>
      </w:tcPr>
    </w:tblStylePr>
    <w:tblStylePr w:type="lastRow">
      <w:rPr>
        <w:b/>
        <w:sz w:val="22"/>
      </w:rPr>
      <w:tcPr>
        <w:shd w:val="clear" w:color="ffffff" w:fill="4bacc6" w:themeFill="accent5"/>
        <w:tcBorders>
          <w:top w:val="single" w:color="000000" w:themeColor="light1" w:sz="4" w:space="0"/>
        </w:tcBorders>
      </w:tcPr>
    </w:tblStylePr>
  </w:style>
  <w:style w:type="table" w:styleId="85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bcda8" w:themeFill="accent6" w:themeFillTint="75"/>
      </w:tcPr>
    </w:tblStylePr>
    <w:tblStylePr w:type="band1Vert">
      <w:tcPr>
        <w:shd w:val="clear" w:color="ffffff" w:fill="fbcda8" w:themeFill="accent6" w:themeFillTint="75"/>
      </w:tcPr>
    </w:tblStylePr>
    <w:tblStylePr w:type="firstCol">
      <w:rPr>
        <w:b/>
        <w:sz w:val="22"/>
      </w:rPr>
      <w:tcPr>
        <w:shd w:val="clear" w:color="ffffff" w:fill="f79646" w:themeFill="accent6"/>
      </w:tc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  <w:sz w:val="22"/>
      </w:rPr>
      <w:tcPr>
        <w:shd w:val="clear" w:color="ffffff" w:fill="f79646" w:themeFill="accent6"/>
      </w:tcPr>
    </w:tblStylePr>
    <w:tblStylePr w:type="lastRow">
      <w:rPr>
        <w:b/>
        <w:sz w:val="22"/>
      </w:rPr>
      <w:tcPr>
        <w:shd w:val="clear" w:color="ffffff" w:fill="f79646" w:themeFill="accent6"/>
        <w:tcBorders>
          <w:top w:val="single" w:color="000000" w:themeColor="light1" w:sz="4" w:space="0"/>
        </w:tcBorders>
      </w:tcPr>
    </w:tblStylePr>
  </w:style>
  <w:style w:type="table" w:styleId="858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a4a4a" w:themeColor="text1" w:themeTint="80" w:themeShade="95"/>
        <w:sz w:val="22"/>
      </w:rPr>
    </w:tblStylePr>
  </w:style>
  <w:style w:type="table" w:styleId="85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color w:val="3e70a3" w:themeColor="accent1" w:themeTint="80" w:themeShade="95"/>
        <w:sz w:val="22"/>
      </w:rPr>
    </w:tblStylePr>
  </w:style>
  <w:style w:type="table" w:styleId="86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86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color w:val="5c702f" w:themeColor="accent3" w:themeTint="FE" w:themeShade="95"/>
        <w:sz w:val="22"/>
      </w:rPr>
    </w:tblStylePr>
  </w:style>
  <w:style w:type="table" w:styleId="86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86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266777" w:themeColor="accent5" w:themeShade="95"/>
        <w:sz w:val="22"/>
      </w:rPr>
    </w:tblStylePr>
  </w:style>
  <w:style w:type="table" w:styleId="86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266777" w:themeColor="accent5" w:themeShade="95"/>
        <w:sz w:val="22"/>
      </w:rPr>
    </w:tblStylePr>
  </w:style>
  <w:style w:type="table" w:styleId="865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</w:tblStylePr>
    <w:tblStylePr w:type="firstCol">
      <w:rPr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80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3e0ee" w:themeFill="accent1" w:themeFillTint="40"/>
      </w:tcPr>
    </w:tblStylePr>
    <w:tblStylePr w:type="band1Vert">
      <w:rPr>
        <w:sz w:val="22"/>
      </w:rPr>
      <w:tcPr>
        <w:shd w:val="clear" w:color="ffffff" w:fill="d3e0ee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881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efd3d2" w:themeFill="accent2" w:themeFillTint="40"/>
      </w:tcPr>
    </w:tblStylePr>
    <w:tblStylePr w:type="band1Vert">
      <w:rPr>
        <w:sz w:val="22"/>
      </w:rPr>
      <w:tcPr>
        <w:shd w:val="clear" w:color="ffffff" w:fill="efd3d2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882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6eed5" w:themeFill="accent3" w:themeFillTint="40"/>
      </w:tcPr>
    </w:tblStylePr>
    <w:tblStylePr w:type="band1Vert">
      <w:rPr>
        <w:sz w:val="22"/>
      </w:rPr>
      <w:tcPr>
        <w:shd w:val="clear" w:color="ffffff" w:fill="e6eed5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883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884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885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ce4d1" w:themeFill="accent6" w:themeFillTint="40"/>
      </w:tcPr>
    </w:tblStylePr>
    <w:tblStylePr w:type="band1Vert">
      <w:rPr>
        <w:sz w:val="22"/>
      </w:rPr>
      <w:tcPr>
        <w:shd w:val="clear" w:color="ffffff" w:fill="fce4d1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886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7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8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d99694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9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3d69b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0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1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1cddc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2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9bf90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3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4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3e0ee" w:themeFill="accent1" w:themeFillTint="40"/>
      </w:tcPr>
    </w:tblStylePr>
    <w:tblStylePr w:type="band1Vert">
      <w:rPr>
        <w:sz w:val="22"/>
      </w:rPr>
      <w:tcPr>
        <w:shd w:val="clear" w:color="ffffff" w:fill="d3e0ee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5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efd3d2" w:themeFill="accent2" w:themeFillTint="40"/>
      </w:tcPr>
    </w:tblStylePr>
    <w:tblStylePr w:type="band1Vert">
      <w:rPr>
        <w:sz w:val="22"/>
      </w:rPr>
      <w:tcPr>
        <w:shd w:val="clear" w:color="ffffff" w:fill="efd3d2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6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6eed5" w:themeFill="accent3" w:themeFillTint="40"/>
      </w:tcPr>
    </w:tblStylePr>
    <w:tblStylePr w:type="band1Vert">
      <w:rPr>
        <w:sz w:val="22"/>
      </w:rPr>
      <w:tcPr>
        <w:shd w:val="clear" w:color="ffffff" w:fill="e6eed5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7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8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9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ce4d1" w:themeFill="accent6" w:themeFillTint="40"/>
      </w:tcPr>
    </w:tblStylePr>
    <w:tblStylePr w:type="band1Vert">
      <w:rPr>
        <w:sz w:val="22"/>
      </w:rPr>
      <w:tcPr>
        <w:shd w:val="clear" w:color="ffffff" w:fill="fce4d1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00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0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0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ffffff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d99694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0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ffffff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3d69b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0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ffffff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b2a1c6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0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ffffff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91cddc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0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ffffff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9bf90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07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90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91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91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91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91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914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91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a4b71" w:themeColor="accent1" w:themeShade="95"/>
        <w:sz w:val="22"/>
      </w:rPr>
    </w:tblStylePr>
  </w:style>
  <w:style w:type="table" w:styleId="91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91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c983f" w:themeColor="accent3" w:themeTint="98" w:themeShade="95"/>
        <w:sz w:val="22"/>
      </w:rPr>
    </w:tblStylePr>
  </w:style>
  <w:style w:type="table" w:styleId="91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91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338aa0" w:themeColor="accent5" w:themeTint="9A" w:themeShade="95"/>
        <w:sz w:val="22"/>
      </w:rPr>
    </w:tblStylePr>
  </w:style>
  <w:style w:type="table" w:styleId="92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d9680c" w:themeColor="accent6" w:themeTint="98" w:themeShade="95"/>
        <w:sz w:val="22"/>
      </w:rPr>
    </w:tblStylePr>
  </w:style>
  <w:style w:type="table" w:styleId="921">
    <w:name w:val="Lined - Accen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922">
    <w:name w:val="Lined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dc2" w:themeFill="accent1" w:themeFillTint="EA"/>
      </w:tcPr>
    </w:tblStylePr>
    <w:tblStylePr w:type="firstRow">
      <w:rPr>
        <w:sz w:val="22"/>
      </w:rPr>
      <w:tcPr>
        <w:shd w:val="clear" w:color="ffffff" w:fill="5d8dc2" w:themeFill="accent1" w:themeFillTint="EA"/>
      </w:tcPr>
    </w:tblStylePr>
    <w:tblStylePr w:type="lastCol">
      <w:rPr>
        <w:sz w:val="22"/>
      </w:rPr>
      <w:tcPr>
        <w:shd w:val="clear" w:color="ffffff" w:fill="5d8dc2" w:themeFill="accent1" w:themeFillTint="EA"/>
      </w:tcPr>
    </w:tblStylePr>
    <w:tblStylePr w:type="lastRow">
      <w:rPr>
        <w:sz w:val="22"/>
      </w:rPr>
      <w:tcPr>
        <w:shd w:val="clear" w:color="ffffff" w:fill="5d8dc2" w:themeFill="accent1" w:themeFillTint="EA"/>
      </w:tcPr>
    </w:tblStylePr>
  </w:style>
  <w:style w:type="table" w:styleId="923">
    <w:name w:val="Lined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b" w:themeFill="accent2" w:themeFillTint="32"/>
      </w:tcPr>
    </w:tblStylePr>
    <w:tblStylePr w:type="band2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sz w:val="22"/>
      </w:rPr>
      <w:tcPr>
        <w:shd w:val="clear" w:color="ffffff" w:fill="d99694" w:themeFill="accent2" w:themeFillTint="97"/>
      </w:tcPr>
    </w:tblStylePr>
    <w:tblStylePr w:type="firstRow">
      <w:rPr>
        <w:sz w:val="22"/>
      </w:rPr>
      <w:tcPr>
        <w:shd w:val="clear" w:color="ffffff" w:fill="d99694" w:themeFill="accent2" w:themeFillTint="97"/>
      </w:tcPr>
    </w:tblStylePr>
    <w:tblStylePr w:type="lastCol">
      <w:rPr>
        <w:sz w:val="22"/>
      </w:rPr>
      <w:tcPr>
        <w:shd w:val="clear" w:color="ffffff" w:fill="d99694" w:themeFill="accent2" w:themeFillTint="97"/>
      </w:tcPr>
    </w:tblStylePr>
    <w:tblStylePr w:type="lastRow">
      <w:rPr>
        <w:sz w:val="22"/>
      </w:rPr>
      <w:tcPr>
        <w:shd w:val="clear" w:color="ffffff" w:fill="d99694" w:themeFill="accent2" w:themeFillTint="97"/>
      </w:tcPr>
    </w:tblStylePr>
  </w:style>
  <w:style w:type="table" w:styleId="924">
    <w:name w:val="Lined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0dd" w:themeFill="accent3" w:themeFillTint="34"/>
      </w:tcPr>
    </w:tblStylePr>
    <w:tblStylePr w:type="band2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sz w:val="22"/>
      </w:rPr>
      <w:tcPr>
        <w:shd w:val="clear" w:color="ffffff" w:fill="9bba59" w:themeFill="accent3" w:themeFillTint="FE"/>
      </w:tcPr>
    </w:tblStylePr>
    <w:tblStylePr w:type="firstRow">
      <w:rPr>
        <w:sz w:val="22"/>
      </w:rPr>
      <w:tcPr>
        <w:shd w:val="clear" w:color="ffffff" w:fill="9bba59" w:themeFill="accent3" w:themeFillTint="FE"/>
      </w:tcPr>
    </w:tblStylePr>
    <w:tblStylePr w:type="lastCol">
      <w:rPr>
        <w:sz w:val="22"/>
      </w:rPr>
      <w:tcPr>
        <w:shd w:val="clear" w:color="ffffff" w:fill="9bba59" w:themeFill="accent3" w:themeFillTint="FE"/>
      </w:tcPr>
    </w:tblStylePr>
    <w:tblStylePr w:type="lastRow">
      <w:rPr>
        <w:sz w:val="22"/>
      </w:rPr>
      <w:tcPr>
        <w:shd w:val="clear" w:color="ffffff" w:fill="9bba59" w:themeFill="accent3" w:themeFillTint="FE"/>
      </w:tcPr>
    </w:tblStylePr>
  </w:style>
  <w:style w:type="table" w:styleId="925">
    <w:name w:val="Lined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926">
    <w:name w:val="Lined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927">
    <w:name w:val="Lined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928">
    <w:name w:val="Bordered &amp; Lined - Accen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929">
    <w:name w:val="Bordered &amp; Lin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dc2" w:themeFill="accent1" w:themeFillTint="EA"/>
      </w:tcPr>
    </w:tblStylePr>
    <w:tblStylePr w:type="firstRow">
      <w:rPr>
        <w:sz w:val="22"/>
      </w:rPr>
      <w:tcPr>
        <w:shd w:val="clear" w:color="ffffff" w:fill="5d8dc2" w:themeFill="accent1" w:themeFillTint="EA"/>
      </w:tcPr>
    </w:tblStylePr>
    <w:tblStylePr w:type="lastCol">
      <w:rPr>
        <w:sz w:val="22"/>
      </w:rPr>
      <w:tcPr>
        <w:shd w:val="clear" w:color="ffffff" w:fill="5d8dc2" w:themeFill="accent1" w:themeFillTint="EA"/>
      </w:tcPr>
    </w:tblStylePr>
    <w:tblStylePr w:type="lastRow">
      <w:rPr>
        <w:sz w:val="22"/>
      </w:rPr>
      <w:tcPr>
        <w:shd w:val="clear" w:color="ffffff" w:fill="5d8dc2" w:themeFill="accent1" w:themeFillTint="EA"/>
      </w:tcPr>
    </w:tblStylePr>
  </w:style>
  <w:style w:type="table" w:styleId="930">
    <w:name w:val="Bordered &amp; Lin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b" w:themeFill="accent2" w:themeFillTint="32"/>
      </w:tcPr>
    </w:tblStylePr>
    <w:tblStylePr w:type="band2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sz w:val="22"/>
      </w:rPr>
      <w:tcPr>
        <w:shd w:val="clear" w:color="ffffff" w:fill="d99694" w:themeFill="accent2" w:themeFillTint="97"/>
      </w:tcPr>
    </w:tblStylePr>
    <w:tblStylePr w:type="firstRow">
      <w:rPr>
        <w:sz w:val="22"/>
      </w:rPr>
      <w:tcPr>
        <w:shd w:val="clear" w:color="ffffff" w:fill="d99694" w:themeFill="accent2" w:themeFillTint="97"/>
      </w:tcPr>
    </w:tblStylePr>
    <w:tblStylePr w:type="lastCol">
      <w:rPr>
        <w:sz w:val="22"/>
      </w:rPr>
      <w:tcPr>
        <w:shd w:val="clear" w:color="ffffff" w:fill="d99694" w:themeFill="accent2" w:themeFillTint="97"/>
      </w:tcPr>
    </w:tblStylePr>
    <w:tblStylePr w:type="lastRow">
      <w:rPr>
        <w:sz w:val="22"/>
      </w:rPr>
      <w:tcPr>
        <w:shd w:val="clear" w:color="ffffff" w:fill="d99694" w:themeFill="accent2" w:themeFillTint="97"/>
      </w:tcPr>
    </w:tblStylePr>
  </w:style>
  <w:style w:type="table" w:styleId="931">
    <w:name w:val="Bordered &amp; Lin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0dd" w:themeFill="accent3" w:themeFillTint="34"/>
      </w:tcPr>
    </w:tblStylePr>
    <w:tblStylePr w:type="band2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sz w:val="22"/>
      </w:rPr>
      <w:tcPr>
        <w:shd w:val="clear" w:color="ffffff" w:fill="9bba59" w:themeFill="accent3" w:themeFillTint="FE"/>
      </w:tcPr>
    </w:tblStylePr>
    <w:tblStylePr w:type="firstRow">
      <w:rPr>
        <w:sz w:val="22"/>
      </w:rPr>
      <w:tcPr>
        <w:shd w:val="clear" w:color="ffffff" w:fill="9bba59" w:themeFill="accent3" w:themeFillTint="FE"/>
      </w:tcPr>
    </w:tblStylePr>
    <w:tblStylePr w:type="lastCol">
      <w:rPr>
        <w:sz w:val="22"/>
      </w:rPr>
      <w:tcPr>
        <w:shd w:val="clear" w:color="ffffff" w:fill="9bba59" w:themeFill="accent3" w:themeFillTint="FE"/>
      </w:tcPr>
    </w:tblStylePr>
    <w:tblStylePr w:type="lastRow">
      <w:rPr>
        <w:sz w:val="22"/>
      </w:rPr>
      <w:tcPr>
        <w:shd w:val="clear" w:color="ffffff" w:fill="9bba59" w:themeFill="accent3" w:themeFillTint="FE"/>
      </w:tcPr>
    </w:tblStylePr>
  </w:style>
  <w:style w:type="table" w:styleId="932">
    <w:name w:val="Bordered &amp; Lin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933">
    <w:name w:val="Bordered &amp; Lin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934">
    <w:name w:val="Bordered &amp; Lin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935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936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7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938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939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940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941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94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/>
        <a:ln w="25400"/>
        <a:ln w="38100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taskadmin3 05.03.2016 13:48:53; РР·РјРµРЅРµРЅ: tais 21.10.2021 14:33:30</dc:subject>
  <dc:creator>Keysystems.DWH.ReportDesigner</dc:creator>
  <dc:description/>
  <dc:language>ru-RU</dc:language>
  <cp:lastModifiedBy>tasun_tv</cp:lastModifiedBy>
  <cp:revision>63</cp:revision>
  <dcterms:created xsi:type="dcterms:W3CDTF">2024-03-07T05:12:00Z</dcterms:created>
  <dcterms:modified xsi:type="dcterms:W3CDTF">2026-07-08T08:50:22Z</dcterms:modified>
  <cp:version>917504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